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03F" w:rsidRPr="00322EAF" w:rsidRDefault="00F62865" w:rsidP="00587526">
      <w:pPr>
        <w:jc w:val="center"/>
        <w:rPr>
          <w:rFonts w:ascii="Arial" w:hAnsi="Arial" w:cs="Arial"/>
          <w:b/>
          <w:sz w:val="36"/>
          <w:szCs w:val="36"/>
        </w:rPr>
      </w:pPr>
      <w:r w:rsidRPr="00322EAF">
        <w:rPr>
          <w:rFonts w:ascii="Arial" w:hAnsi="Arial" w:cs="Arial"/>
          <w:b/>
          <w:sz w:val="36"/>
          <w:szCs w:val="36"/>
        </w:rPr>
        <w:t xml:space="preserve">Using </w:t>
      </w:r>
      <w:r w:rsidR="00587526" w:rsidRPr="00322EAF">
        <w:rPr>
          <w:rFonts w:ascii="Arial" w:hAnsi="Arial" w:cs="Arial"/>
          <w:b/>
          <w:sz w:val="36"/>
          <w:szCs w:val="36"/>
        </w:rPr>
        <w:t>Data for Tower Hamlets</w:t>
      </w:r>
      <w:r w:rsidR="00150728" w:rsidRPr="00322EAF">
        <w:rPr>
          <w:rFonts w:ascii="Arial" w:hAnsi="Arial" w:cs="Arial"/>
          <w:b/>
          <w:sz w:val="36"/>
          <w:szCs w:val="36"/>
        </w:rPr>
        <w:t xml:space="preserve">: Household Income </w:t>
      </w:r>
    </w:p>
    <w:p w:rsidR="00587526" w:rsidRPr="002D3F2A" w:rsidRDefault="00587526">
      <w:pPr>
        <w:rPr>
          <w:rFonts w:ascii="Arial" w:hAnsi="Arial" w:cs="Arial"/>
        </w:rPr>
      </w:pPr>
      <w:r w:rsidRPr="002D3F2A">
        <w:rPr>
          <w:rFonts w:ascii="Arial" w:hAnsi="Arial" w:cs="Arial"/>
        </w:rPr>
        <w:t xml:space="preserve">Source: Household income in Tower Hamlets, Insights from the 2013 CACI </w:t>
      </w:r>
      <w:proofErr w:type="spellStart"/>
      <w:r w:rsidRPr="002D3F2A">
        <w:rPr>
          <w:rFonts w:ascii="Arial" w:hAnsi="Arial" w:cs="Arial"/>
        </w:rPr>
        <w:t>Paycheck</w:t>
      </w:r>
      <w:proofErr w:type="spellEnd"/>
      <w:r w:rsidRPr="002D3F2A">
        <w:rPr>
          <w:rFonts w:ascii="Arial" w:hAnsi="Arial" w:cs="Arial"/>
        </w:rPr>
        <w:t xml:space="preserve"> data</w:t>
      </w:r>
    </w:p>
    <w:p w:rsidR="002D3F2A" w:rsidRPr="002D3F2A" w:rsidRDefault="002D3F2A">
      <w:pPr>
        <w:rPr>
          <w:rFonts w:ascii="Arial" w:hAnsi="Arial" w:cs="Arial"/>
        </w:rPr>
      </w:pPr>
      <w:r w:rsidRPr="002D3F2A">
        <w:rPr>
          <w:rFonts w:ascii="Arial" w:hAnsi="Arial" w:cs="Arial"/>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197485</wp:posOffset>
            </wp:positionV>
            <wp:extent cx="3514725" cy="46653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540" t="8409" r="34966" b="5469"/>
                    <a:stretch/>
                  </pic:blipFill>
                  <pic:spPr bwMode="auto">
                    <a:xfrm>
                      <a:off x="0" y="0"/>
                      <a:ext cx="3543464" cy="47040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0925" w:rsidRPr="002D3F2A" w:rsidRDefault="00587526">
      <w:pPr>
        <w:rPr>
          <w:rFonts w:ascii="Arial" w:hAnsi="Arial" w:cs="Arial"/>
        </w:rPr>
      </w:pPr>
      <w:r w:rsidRPr="002D3F2A">
        <w:rPr>
          <w:rFonts w:ascii="Arial" w:hAnsi="Arial" w:cs="Arial"/>
        </w:rPr>
        <w:t>The median household income in Tower Hamlets has increased above the 30K a year milestone. The median annual household income currently stands at £30,800 which was above the 2012 median of £29,550.8 The Tower Hamlets median household income is higher than the GB median income but still £900 below the London median household income.</w:t>
      </w:r>
    </w:p>
    <w:p w:rsidR="00330925" w:rsidRPr="002D3F2A" w:rsidRDefault="00330925">
      <w:pPr>
        <w:rPr>
          <w:rFonts w:ascii="Arial" w:hAnsi="Arial" w:cs="Arial"/>
        </w:rPr>
      </w:pPr>
    </w:p>
    <w:p w:rsidR="00587526" w:rsidRPr="002D3F2A" w:rsidRDefault="00587526">
      <w:pPr>
        <w:rPr>
          <w:rFonts w:ascii="Arial" w:hAnsi="Arial" w:cs="Arial"/>
        </w:rPr>
      </w:pPr>
    </w:p>
    <w:p w:rsidR="00587526" w:rsidRPr="002D3F2A" w:rsidRDefault="00C55259">
      <w:pPr>
        <w:rPr>
          <w:rFonts w:ascii="Arial" w:hAnsi="Arial" w:cs="Arial"/>
          <w:b/>
        </w:rPr>
      </w:pPr>
      <w:r w:rsidRPr="002D3F2A">
        <w:rPr>
          <w:rFonts w:ascii="Arial" w:hAnsi="Arial" w:cs="Arial"/>
          <w:b/>
        </w:rPr>
        <w:t xml:space="preserve"> </w:t>
      </w:r>
      <w:r w:rsidR="003A470F" w:rsidRPr="002D3F2A">
        <w:rPr>
          <w:rFonts w:ascii="Arial" w:hAnsi="Arial" w:cs="Arial"/>
          <w:b/>
        </w:rPr>
        <w:t xml:space="preserve">Map 1: </w:t>
      </w:r>
      <w:r w:rsidR="00587526" w:rsidRPr="002D3F2A">
        <w:rPr>
          <w:rFonts w:ascii="Arial" w:hAnsi="Arial" w:cs="Arial"/>
          <w:b/>
        </w:rPr>
        <w:t xml:space="preserve">Median Household income by Output area in Tower Hamlets 2013 </w:t>
      </w:r>
      <w:r w:rsidR="003A470F" w:rsidRPr="002D3F2A">
        <w:rPr>
          <w:rFonts w:ascii="Arial" w:hAnsi="Arial" w:cs="Arial"/>
          <w:b/>
        </w:rPr>
        <w:t>in £</w:t>
      </w:r>
    </w:p>
    <w:p w:rsidR="00330925" w:rsidRPr="002D3F2A" w:rsidRDefault="00330925">
      <w:pPr>
        <w:rPr>
          <w:rFonts w:ascii="Arial" w:hAnsi="Arial" w:cs="Arial"/>
          <w:b/>
        </w:rPr>
      </w:pPr>
    </w:p>
    <w:p w:rsidR="00330925" w:rsidRPr="002D3F2A" w:rsidRDefault="00330925">
      <w:pPr>
        <w:rPr>
          <w:rFonts w:ascii="Arial" w:hAnsi="Arial" w:cs="Arial"/>
          <w:b/>
        </w:rPr>
      </w:pPr>
    </w:p>
    <w:p w:rsidR="00330925" w:rsidRPr="002D3F2A" w:rsidRDefault="00330925">
      <w:pPr>
        <w:rPr>
          <w:rFonts w:ascii="Arial" w:hAnsi="Arial" w:cs="Arial"/>
          <w:b/>
        </w:rPr>
      </w:pPr>
    </w:p>
    <w:p w:rsidR="00330925" w:rsidRPr="002D3F2A" w:rsidRDefault="00330925">
      <w:pPr>
        <w:rPr>
          <w:rFonts w:ascii="Arial" w:hAnsi="Arial" w:cs="Arial"/>
          <w:b/>
        </w:rPr>
      </w:pPr>
    </w:p>
    <w:p w:rsidR="00330925" w:rsidRPr="002D3F2A" w:rsidRDefault="00330925">
      <w:pPr>
        <w:rPr>
          <w:rFonts w:ascii="Arial" w:hAnsi="Arial" w:cs="Arial"/>
          <w:b/>
        </w:rPr>
      </w:pPr>
    </w:p>
    <w:p w:rsidR="00330925" w:rsidRPr="002D3F2A" w:rsidRDefault="00330925">
      <w:pPr>
        <w:rPr>
          <w:rFonts w:ascii="Arial" w:hAnsi="Arial" w:cs="Arial"/>
          <w:b/>
        </w:rPr>
      </w:pPr>
    </w:p>
    <w:p w:rsidR="00330925" w:rsidRPr="002D3F2A" w:rsidRDefault="00330925">
      <w:pPr>
        <w:rPr>
          <w:rFonts w:ascii="Arial" w:hAnsi="Arial" w:cs="Arial"/>
          <w:b/>
        </w:rPr>
      </w:pPr>
    </w:p>
    <w:p w:rsidR="00330925" w:rsidRPr="002D3F2A" w:rsidRDefault="00322EAF">
      <w:pPr>
        <w:rPr>
          <w:rFonts w:ascii="Arial" w:hAnsi="Arial" w:cs="Arial"/>
          <w:b/>
        </w:rPr>
      </w:pPr>
      <w:r w:rsidRPr="002D3F2A">
        <w:rPr>
          <w:rFonts w:ascii="Arial" w:hAnsi="Arial" w:cs="Arial"/>
          <w:noProof/>
          <w:lang w:eastAsia="en-GB"/>
        </w:rPr>
        <w:drawing>
          <wp:anchor distT="0" distB="0" distL="114300" distR="114300" simplePos="0" relativeHeight="251660288" behindDoc="1" locked="0" layoutInCell="1" allowOverlap="1">
            <wp:simplePos x="0" y="0"/>
            <wp:positionH relativeFrom="margin">
              <wp:posOffset>1790700</wp:posOffset>
            </wp:positionH>
            <wp:positionV relativeFrom="paragraph">
              <wp:posOffset>267335</wp:posOffset>
            </wp:positionV>
            <wp:extent cx="5076825" cy="3986530"/>
            <wp:effectExtent l="0" t="0" r="9525" b="0"/>
            <wp:wrapTight wrapText="bothSides">
              <wp:wrapPolygon edited="0">
                <wp:start x="0" y="0"/>
                <wp:lineTo x="0" y="21469"/>
                <wp:lineTo x="21559" y="21469"/>
                <wp:lineTo x="215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096" t="16650" r="24219" b="11730"/>
                    <a:stretch/>
                  </pic:blipFill>
                  <pic:spPr bwMode="auto">
                    <a:xfrm>
                      <a:off x="0" y="0"/>
                      <a:ext cx="5076825" cy="398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2EAF" w:rsidRDefault="00322EAF" w:rsidP="002D3F2A">
      <w:pPr>
        <w:pStyle w:val="Default"/>
        <w:rPr>
          <w:rFonts w:ascii="Arial" w:hAnsi="Arial" w:cs="Arial"/>
          <w:b/>
          <w:sz w:val="22"/>
          <w:szCs w:val="22"/>
        </w:rPr>
      </w:pPr>
    </w:p>
    <w:p w:rsidR="00322EAF" w:rsidRDefault="00322EAF" w:rsidP="002D3F2A">
      <w:pPr>
        <w:pStyle w:val="Default"/>
        <w:rPr>
          <w:rFonts w:ascii="Arial" w:hAnsi="Arial" w:cs="Arial"/>
          <w:b/>
          <w:sz w:val="22"/>
          <w:szCs w:val="22"/>
        </w:rPr>
      </w:pPr>
    </w:p>
    <w:p w:rsidR="00322EAF" w:rsidRPr="002D3F2A" w:rsidRDefault="002D3F2A" w:rsidP="002D3F2A">
      <w:pPr>
        <w:pStyle w:val="Default"/>
        <w:rPr>
          <w:rFonts w:ascii="Arial" w:hAnsi="Arial" w:cs="Arial"/>
          <w:b/>
          <w:sz w:val="22"/>
          <w:szCs w:val="22"/>
        </w:rPr>
      </w:pPr>
      <w:r w:rsidRPr="002D3F2A">
        <w:rPr>
          <w:rFonts w:ascii="Arial" w:hAnsi="Arial" w:cs="Arial"/>
          <w:b/>
          <w:sz w:val="22"/>
          <w:szCs w:val="22"/>
        </w:rPr>
        <w:t>Table 1: Median household income by ward and change between 2009 and 2013</w:t>
      </w:r>
      <w:r w:rsidR="00322EAF">
        <w:rPr>
          <w:rFonts w:ascii="Arial" w:hAnsi="Arial" w:cs="Arial"/>
          <w:b/>
          <w:sz w:val="22"/>
          <w:szCs w:val="22"/>
        </w:rPr>
        <w:t xml:space="preserve"> </w:t>
      </w:r>
    </w:p>
    <w:p w:rsidR="00330925" w:rsidRPr="002D3F2A" w:rsidRDefault="002D3F2A" w:rsidP="002D3F2A">
      <w:pPr>
        <w:rPr>
          <w:rFonts w:ascii="Arial" w:hAnsi="Arial" w:cs="Arial"/>
          <w:b/>
        </w:rPr>
      </w:pPr>
      <w:r w:rsidRPr="002D3F2A">
        <w:rPr>
          <w:rFonts w:ascii="Arial" w:hAnsi="Arial" w:cs="Arial"/>
          <w:b/>
        </w:rPr>
        <w:t>(</w:t>
      </w:r>
      <w:proofErr w:type="spellStart"/>
      <w:proofErr w:type="gramStart"/>
      <w:r w:rsidRPr="002D3F2A">
        <w:rPr>
          <w:rFonts w:ascii="Arial" w:hAnsi="Arial" w:cs="Arial"/>
        </w:rPr>
        <w:t>nb</w:t>
      </w:r>
      <w:proofErr w:type="spellEnd"/>
      <w:proofErr w:type="gramEnd"/>
      <w:r w:rsidRPr="002D3F2A">
        <w:rPr>
          <w:rFonts w:ascii="Arial" w:hAnsi="Arial" w:cs="Arial"/>
        </w:rPr>
        <w:t xml:space="preserve"> </w:t>
      </w:r>
      <w:r w:rsidRPr="002D3F2A">
        <w:rPr>
          <w:rFonts w:ascii="Arial" w:hAnsi="Arial" w:cs="Arial"/>
          <w:i/>
        </w:rPr>
        <w:t>Millwall ward</w:t>
      </w:r>
      <w:r w:rsidRPr="002D3F2A">
        <w:rPr>
          <w:rFonts w:ascii="Arial" w:hAnsi="Arial" w:cs="Arial"/>
        </w:rPr>
        <w:t xml:space="preserve"> was renamed Canary wharf ward  in 2014</w:t>
      </w:r>
    </w:p>
    <w:p w:rsidR="00330925" w:rsidRPr="002D3F2A" w:rsidRDefault="00330925">
      <w:pPr>
        <w:rPr>
          <w:rFonts w:ascii="Arial" w:hAnsi="Arial" w:cs="Arial"/>
          <w:b/>
        </w:rPr>
      </w:pPr>
    </w:p>
    <w:p w:rsidR="00330925" w:rsidRPr="002D3F2A" w:rsidRDefault="00330925">
      <w:pPr>
        <w:rPr>
          <w:rFonts w:ascii="Arial" w:hAnsi="Arial" w:cs="Arial"/>
          <w:b/>
        </w:rPr>
      </w:pPr>
    </w:p>
    <w:p w:rsidR="00330925" w:rsidRDefault="00330925">
      <w:pPr>
        <w:rPr>
          <w:b/>
        </w:rPr>
      </w:pPr>
    </w:p>
    <w:p w:rsidR="002D3F2A" w:rsidRDefault="002D3F2A">
      <w:pPr>
        <w:rPr>
          <w:b/>
        </w:rPr>
      </w:pPr>
    </w:p>
    <w:p w:rsidR="002D3F2A" w:rsidRDefault="002D3F2A">
      <w:pPr>
        <w:rPr>
          <w:b/>
        </w:rPr>
      </w:pPr>
    </w:p>
    <w:p w:rsidR="00322EAF" w:rsidRDefault="00322EAF" w:rsidP="00322EAF">
      <w:pPr>
        <w:jc w:val="center"/>
        <w:rPr>
          <w:rFonts w:ascii="Arial" w:hAnsi="Arial" w:cs="Arial"/>
          <w:bCs/>
          <w:i/>
          <w:sz w:val="28"/>
          <w:szCs w:val="28"/>
        </w:rPr>
      </w:pPr>
    </w:p>
    <w:p w:rsidR="00330925" w:rsidRDefault="00330925" w:rsidP="00322EAF">
      <w:pPr>
        <w:jc w:val="center"/>
        <w:rPr>
          <w:rFonts w:ascii="Arial" w:hAnsi="Arial" w:cs="Arial"/>
          <w:bCs/>
          <w:i/>
          <w:sz w:val="28"/>
          <w:szCs w:val="28"/>
        </w:rPr>
      </w:pPr>
      <w:r w:rsidRPr="00322EAF">
        <w:rPr>
          <w:rFonts w:ascii="Arial" w:hAnsi="Arial" w:cs="Arial"/>
          <w:noProof/>
          <w:sz w:val="28"/>
          <w:szCs w:val="28"/>
          <w:lang w:eastAsia="en-GB"/>
        </w:rPr>
        <w:lastRenderedPageBreak/>
        <w:drawing>
          <wp:anchor distT="0" distB="0" distL="114300" distR="114300" simplePos="0" relativeHeight="251659264" behindDoc="1" locked="0" layoutInCell="1" allowOverlap="1">
            <wp:simplePos x="0" y="0"/>
            <wp:positionH relativeFrom="margin">
              <wp:posOffset>5250815</wp:posOffset>
            </wp:positionH>
            <wp:positionV relativeFrom="paragraph">
              <wp:posOffset>0</wp:posOffset>
            </wp:positionV>
            <wp:extent cx="1388110" cy="1914525"/>
            <wp:effectExtent l="0" t="0" r="2540" b="9525"/>
            <wp:wrapTight wrapText="bothSides">
              <wp:wrapPolygon edited="0">
                <wp:start x="0" y="0"/>
                <wp:lineTo x="0" y="21493"/>
                <wp:lineTo x="21343" y="21493"/>
                <wp:lineTo x="213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2246" t="8918" r="32927" b="5724"/>
                    <a:stretch/>
                  </pic:blipFill>
                  <pic:spPr bwMode="auto">
                    <a:xfrm>
                      <a:off x="0" y="0"/>
                      <a:ext cx="1388110" cy="191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2EAF">
        <w:rPr>
          <w:rFonts w:ascii="Arial" w:hAnsi="Arial" w:cs="Arial"/>
          <w:bCs/>
          <w:i/>
          <w:sz w:val="28"/>
          <w:szCs w:val="28"/>
        </w:rPr>
        <w:t xml:space="preserve">Income Inequality in Tower Hamlets: Key facts taken from the </w:t>
      </w:r>
      <w:r w:rsidR="005223C4" w:rsidRPr="00322EAF">
        <w:rPr>
          <w:rFonts w:ascii="Arial" w:hAnsi="Arial" w:cs="Arial"/>
          <w:bCs/>
          <w:i/>
          <w:sz w:val="28"/>
          <w:szCs w:val="28"/>
        </w:rPr>
        <w:t xml:space="preserve">Fairness </w:t>
      </w:r>
      <w:r w:rsidR="002D3F2A" w:rsidRPr="00322EAF">
        <w:rPr>
          <w:rFonts w:ascii="Arial" w:hAnsi="Arial" w:cs="Arial"/>
          <w:bCs/>
          <w:i/>
          <w:sz w:val="28"/>
          <w:szCs w:val="28"/>
        </w:rPr>
        <w:t xml:space="preserve">Commission report of 2013 </w:t>
      </w:r>
      <w:r w:rsidR="000E7CCD">
        <w:rPr>
          <w:rFonts w:ascii="Arial" w:hAnsi="Arial" w:cs="Arial"/>
          <w:bCs/>
          <w:i/>
          <w:sz w:val="28"/>
          <w:szCs w:val="28"/>
        </w:rPr>
        <w:t xml:space="preserve">subtitled </w:t>
      </w:r>
      <w:r w:rsidR="002D3F2A" w:rsidRPr="00322EAF">
        <w:rPr>
          <w:rFonts w:ascii="Arial" w:hAnsi="Arial" w:cs="Arial"/>
          <w:bCs/>
          <w:i/>
          <w:sz w:val="28"/>
          <w:szCs w:val="28"/>
        </w:rPr>
        <w:t>‘Is Tower Hamlets rich or poor?</w:t>
      </w:r>
      <w:r w:rsidR="00322EAF">
        <w:rPr>
          <w:rFonts w:ascii="Arial" w:hAnsi="Arial" w:cs="Arial"/>
          <w:bCs/>
          <w:i/>
          <w:sz w:val="28"/>
          <w:szCs w:val="28"/>
        </w:rPr>
        <w:t>’</w:t>
      </w:r>
    </w:p>
    <w:p w:rsidR="00330925" w:rsidRPr="002D3F2A" w:rsidRDefault="00330925" w:rsidP="00330925">
      <w:pPr>
        <w:autoSpaceDE w:val="0"/>
        <w:autoSpaceDN w:val="0"/>
        <w:adjustRightInd w:val="0"/>
        <w:spacing w:after="0" w:line="240" w:lineRule="auto"/>
        <w:rPr>
          <w:rFonts w:ascii="Arial" w:hAnsi="Arial" w:cs="Arial"/>
          <w:sz w:val="24"/>
          <w:szCs w:val="24"/>
        </w:rPr>
      </w:pPr>
      <w:r w:rsidRPr="002D3F2A">
        <w:rPr>
          <w:rFonts w:ascii="Arial" w:hAnsi="Arial" w:cs="Arial"/>
          <w:sz w:val="24"/>
          <w:szCs w:val="24"/>
        </w:rPr>
        <w:t>Over a tenth of working residents earn in excess of £100,000 a year, compared to only 2%</w:t>
      </w:r>
      <w:r w:rsidR="002D3F2A" w:rsidRPr="002D3F2A">
        <w:rPr>
          <w:rFonts w:ascii="Arial" w:hAnsi="Arial" w:cs="Arial"/>
          <w:sz w:val="24"/>
          <w:szCs w:val="24"/>
        </w:rPr>
        <w:t xml:space="preserve"> </w:t>
      </w:r>
      <w:r w:rsidRPr="002D3F2A">
        <w:rPr>
          <w:rFonts w:ascii="Arial" w:hAnsi="Arial" w:cs="Arial"/>
          <w:sz w:val="24"/>
          <w:szCs w:val="24"/>
        </w:rPr>
        <w:t>for London as a whole.</w:t>
      </w:r>
    </w:p>
    <w:p w:rsidR="002D3F2A" w:rsidRPr="002D3F2A" w:rsidRDefault="00330925" w:rsidP="00330925">
      <w:pPr>
        <w:autoSpaceDE w:val="0"/>
        <w:autoSpaceDN w:val="0"/>
        <w:adjustRightInd w:val="0"/>
        <w:spacing w:after="0" w:line="240" w:lineRule="auto"/>
        <w:rPr>
          <w:rFonts w:ascii="Arial" w:hAnsi="Arial" w:cs="Arial"/>
          <w:sz w:val="24"/>
          <w:szCs w:val="24"/>
        </w:rPr>
      </w:pPr>
      <w:r w:rsidRPr="002D3F2A">
        <w:rPr>
          <w:rFonts w:ascii="Arial" w:hAnsi="Arial" w:cs="Arial"/>
          <w:sz w:val="24"/>
          <w:szCs w:val="24"/>
        </w:rPr>
        <w:t>The median income in Tower Hamlets is broadly in line with the London median. Yet 50% of households have an annual income of below £50,000 and over 20% an income of</w:t>
      </w:r>
      <w:r w:rsidR="002D3F2A" w:rsidRPr="002D3F2A">
        <w:rPr>
          <w:rFonts w:ascii="Arial" w:hAnsi="Arial" w:cs="Arial"/>
          <w:sz w:val="24"/>
          <w:szCs w:val="24"/>
        </w:rPr>
        <w:t xml:space="preserve"> </w:t>
      </w:r>
      <w:r w:rsidRPr="002D3F2A">
        <w:rPr>
          <w:rFonts w:ascii="Arial" w:hAnsi="Arial" w:cs="Arial"/>
          <w:sz w:val="24"/>
          <w:szCs w:val="24"/>
        </w:rPr>
        <w:t>just £15,000 a year or less. Nearly half of the borough’s residents are claiming some kind of benefit.12% of households earn around £60,000 a year and 3.7% of households earn around £100,000 a year. The borough has proportionally more people earning over £85,000 a year than the London average</w:t>
      </w:r>
    </w:p>
    <w:p w:rsidR="002D3F2A" w:rsidRPr="002D3F2A" w:rsidRDefault="002D3F2A" w:rsidP="00330925">
      <w:pPr>
        <w:autoSpaceDE w:val="0"/>
        <w:autoSpaceDN w:val="0"/>
        <w:adjustRightInd w:val="0"/>
        <w:spacing w:after="0" w:line="240" w:lineRule="auto"/>
        <w:rPr>
          <w:rFonts w:ascii="Arial" w:hAnsi="Arial" w:cs="Arial"/>
          <w:sz w:val="24"/>
          <w:szCs w:val="24"/>
        </w:rPr>
      </w:pPr>
    </w:p>
    <w:p w:rsidR="00330925" w:rsidRPr="00322EAF" w:rsidRDefault="00330925" w:rsidP="00330925">
      <w:pPr>
        <w:autoSpaceDE w:val="0"/>
        <w:autoSpaceDN w:val="0"/>
        <w:adjustRightInd w:val="0"/>
        <w:spacing w:after="0" w:line="240" w:lineRule="auto"/>
        <w:rPr>
          <w:rFonts w:ascii="Arial" w:hAnsi="Arial" w:cs="Arial"/>
          <w:bCs/>
          <w:sz w:val="24"/>
          <w:szCs w:val="24"/>
          <w:u w:val="single"/>
        </w:rPr>
      </w:pPr>
      <w:r w:rsidRPr="00322EAF">
        <w:rPr>
          <w:rFonts w:ascii="Arial" w:hAnsi="Arial" w:cs="Arial"/>
          <w:bCs/>
          <w:sz w:val="24"/>
          <w:szCs w:val="24"/>
          <w:u w:val="single"/>
        </w:rPr>
        <w:t>The missing middle</w:t>
      </w:r>
    </w:p>
    <w:p w:rsidR="002D3F2A" w:rsidRPr="002D3F2A" w:rsidRDefault="00330925" w:rsidP="00330925">
      <w:pPr>
        <w:autoSpaceDE w:val="0"/>
        <w:autoSpaceDN w:val="0"/>
        <w:adjustRightInd w:val="0"/>
        <w:spacing w:after="0" w:line="240" w:lineRule="auto"/>
        <w:rPr>
          <w:rFonts w:ascii="Arial" w:hAnsi="Arial" w:cs="Arial"/>
          <w:sz w:val="24"/>
          <w:szCs w:val="24"/>
        </w:rPr>
      </w:pPr>
      <w:r w:rsidRPr="002D3F2A">
        <w:rPr>
          <w:rFonts w:ascii="Arial" w:hAnsi="Arial" w:cs="Arial"/>
          <w:sz w:val="24"/>
          <w:szCs w:val="24"/>
        </w:rPr>
        <w:t>One of characteristics of household income in Tower Hamlets is the lack of any clear ‘middle’ between rich and poor. This is evidenced by the fact that Tower Hamlets has a much higher proportion of both low earners and high earners than the rest of London, but proportionally less medium earners. Half of the 30,000 residents who work in the borough are in the three highest occupational sectors, with no change in the last decade. Low</w:t>
      </w:r>
      <w:r w:rsidR="002D3F2A" w:rsidRPr="002D3F2A">
        <w:rPr>
          <w:rFonts w:ascii="Arial" w:hAnsi="Arial" w:cs="Arial"/>
          <w:sz w:val="24"/>
          <w:szCs w:val="24"/>
        </w:rPr>
        <w:t xml:space="preserve"> </w:t>
      </w:r>
      <w:r w:rsidRPr="002D3F2A">
        <w:rPr>
          <w:rFonts w:ascii="Arial" w:hAnsi="Arial" w:cs="Arial"/>
          <w:sz w:val="24"/>
          <w:szCs w:val="24"/>
        </w:rPr>
        <w:t>ranking sales and elementary roles have increased over this period, with no corresponding increase in middle-ranking roles.</w:t>
      </w:r>
    </w:p>
    <w:p w:rsidR="002D3F2A" w:rsidRPr="002D3F2A" w:rsidRDefault="002D3F2A" w:rsidP="00330925">
      <w:pPr>
        <w:autoSpaceDE w:val="0"/>
        <w:autoSpaceDN w:val="0"/>
        <w:adjustRightInd w:val="0"/>
        <w:spacing w:after="0" w:line="240" w:lineRule="auto"/>
        <w:rPr>
          <w:rFonts w:ascii="Arial" w:hAnsi="Arial" w:cs="Arial"/>
          <w:sz w:val="24"/>
          <w:szCs w:val="24"/>
        </w:rPr>
      </w:pPr>
    </w:p>
    <w:p w:rsidR="002D3F2A" w:rsidRPr="002D3F2A" w:rsidRDefault="00330925" w:rsidP="00330925">
      <w:pPr>
        <w:autoSpaceDE w:val="0"/>
        <w:autoSpaceDN w:val="0"/>
        <w:adjustRightInd w:val="0"/>
        <w:spacing w:after="0" w:line="240" w:lineRule="auto"/>
        <w:rPr>
          <w:rFonts w:ascii="Arial" w:hAnsi="Arial" w:cs="Arial"/>
          <w:i/>
          <w:sz w:val="24"/>
          <w:szCs w:val="24"/>
        </w:rPr>
      </w:pPr>
      <w:r w:rsidRPr="002D3F2A">
        <w:rPr>
          <w:rFonts w:ascii="Arial" w:hAnsi="Arial" w:cs="Arial"/>
          <w:sz w:val="24"/>
          <w:szCs w:val="24"/>
        </w:rPr>
        <w:t>This is noted in the Local Economic Assessment</w:t>
      </w:r>
      <w:r w:rsidR="002D3F2A" w:rsidRPr="002D3F2A">
        <w:rPr>
          <w:rFonts w:ascii="Arial" w:hAnsi="Arial" w:cs="Arial"/>
          <w:sz w:val="24"/>
          <w:szCs w:val="24"/>
        </w:rPr>
        <w:t xml:space="preserve"> of 2010</w:t>
      </w:r>
      <w:r w:rsidRPr="002D3F2A">
        <w:rPr>
          <w:rFonts w:ascii="Arial" w:hAnsi="Arial" w:cs="Arial"/>
          <w:i/>
          <w:sz w:val="24"/>
          <w:szCs w:val="24"/>
        </w:rPr>
        <w:t xml:space="preserve">: </w:t>
      </w:r>
    </w:p>
    <w:p w:rsidR="00330925" w:rsidRPr="002D3F2A" w:rsidRDefault="00330925" w:rsidP="002D3F2A">
      <w:pPr>
        <w:autoSpaceDE w:val="0"/>
        <w:autoSpaceDN w:val="0"/>
        <w:adjustRightInd w:val="0"/>
        <w:spacing w:after="0" w:line="240" w:lineRule="auto"/>
        <w:rPr>
          <w:rFonts w:ascii="Arial" w:hAnsi="Arial" w:cs="Arial"/>
          <w:i/>
          <w:sz w:val="24"/>
          <w:szCs w:val="24"/>
        </w:rPr>
      </w:pPr>
      <w:r w:rsidRPr="002D3F2A">
        <w:rPr>
          <w:rFonts w:ascii="Arial" w:hAnsi="Arial" w:cs="Arial"/>
          <w:i/>
          <w:sz w:val="24"/>
          <w:szCs w:val="24"/>
        </w:rPr>
        <w:t>As Tower Hamlets changes and modernises its employment base it remains a place of extremes. Notable by its relative absence, by comparison with the London average, is what might be called the middle or intermediate range of skills, employment prospects and jobs. This ‘missing middle’ effect is linked to the</w:t>
      </w:r>
      <w:r w:rsidR="00B01187">
        <w:rPr>
          <w:rFonts w:ascii="Arial" w:hAnsi="Arial" w:cs="Arial"/>
          <w:i/>
          <w:sz w:val="24"/>
          <w:szCs w:val="24"/>
        </w:rPr>
        <w:t xml:space="preserve"> </w:t>
      </w:r>
      <w:r w:rsidRPr="002D3F2A">
        <w:rPr>
          <w:rFonts w:ascii="Arial" w:hAnsi="Arial" w:cs="Arial"/>
          <w:i/>
          <w:sz w:val="24"/>
          <w:szCs w:val="24"/>
        </w:rPr>
        <w:t>particular pattern of housing tenure and the pricing of accommodation, and its interface with household incomes and wealth. The very wealthy and the very poor predominate in Tower Hamlets, with little bridging them economically or socially. At its worst, this represents a kind of bi-polar world in which two distinct groups are separated as much by psychological or cultural space as by physical or spatial</w:t>
      </w:r>
      <w:r w:rsidR="002D3F2A" w:rsidRPr="002D3F2A">
        <w:rPr>
          <w:rFonts w:ascii="Arial" w:hAnsi="Arial" w:cs="Arial"/>
          <w:i/>
          <w:sz w:val="24"/>
          <w:szCs w:val="24"/>
        </w:rPr>
        <w:t xml:space="preserve"> </w:t>
      </w:r>
      <w:r w:rsidRPr="002D3F2A">
        <w:rPr>
          <w:rFonts w:ascii="Arial" w:hAnsi="Arial" w:cs="Arial"/>
          <w:i/>
          <w:sz w:val="24"/>
          <w:szCs w:val="24"/>
        </w:rPr>
        <w:t>barriers.</w:t>
      </w:r>
    </w:p>
    <w:p w:rsidR="002D3F2A" w:rsidRPr="002D3F2A" w:rsidRDefault="002D3F2A" w:rsidP="002D3F2A">
      <w:pPr>
        <w:autoSpaceDE w:val="0"/>
        <w:autoSpaceDN w:val="0"/>
        <w:adjustRightInd w:val="0"/>
        <w:spacing w:after="0" w:line="240" w:lineRule="auto"/>
        <w:rPr>
          <w:rFonts w:ascii="Arial" w:hAnsi="Arial" w:cs="Arial"/>
          <w:b/>
          <w:i/>
        </w:rPr>
      </w:pPr>
    </w:p>
    <w:p w:rsidR="003A470F" w:rsidRPr="002D3F2A" w:rsidRDefault="003A470F" w:rsidP="00587526">
      <w:pPr>
        <w:pStyle w:val="Default"/>
        <w:rPr>
          <w:rFonts w:ascii="Arial" w:hAnsi="Arial" w:cs="Arial"/>
          <w:b/>
          <w:sz w:val="22"/>
          <w:szCs w:val="22"/>
        </w:rPr>
      </w:pPr>
    </w:p>
    <w:p w:rsidR="00150728" w:rsidRPr="002D3F2A" w:rsidRDefault="00150728" w:rsidP="00587526">
      <w:pPr>
        <w:pStyle w:val="Default"/>
        <w:rPr>
          <w:rFonts w:ascii="Arial" w:hAnsi="Arial" w:cs="Arial"/>
          <w:b/>
          <w:sz w:val="22"/>
          <w:szCs w:val="22"/>
        </w:rPr>
      </w:pPr>
    </w:p>
    <w:tbl>
      <w:tblPr>
        <w:tblStyle w:val="TableGrid"/>
        <w:tblW w:w="0" w:type="auto"/>
        <w:tblLook w:val="04A0" w:firstRow="1" w:lastRow="0" w:firstColumn="1" w:lastColumn="0" w:noHBand="0" w:noVBand="1"/>
      </w:tblPr>
      <w:tblGrid>
        <w:gridCol w:w="2689"/>
        <w:gridCol w:w="2721"/>
        <w:gridCol w:w="2736"/>
        <w:gridCol w:w="2310"/>
      </w:tblGrid>
      <w:tr w:rsidR="00F62865" w:rsidRPr="002D3F2A" w:rsidTr="00F62865">
        <w:tc>
          <w:tcPr>
            <w:tcW w:w="2689" w:type="dxa"/>
          </w:tcPr>
          <w:p w:rsidR="00205FBE" w:rsidRPr="002D3F2A" w:rsidRDefault="00205FBE" w:rsidP="00587526">
            <w:pPr>
              <w:pStyle w:val="Default"/>
              <w:rPr>
                <w:rFonts w:ascii="Arial" w:hAnsi="Arial" w:cs="Arial"/>
                <w:b/>
                <w:sz w:val="22"/>
                <w:szCs w:val="22"/>
              </w:rPr>
            </w:pPr>
            <w:r w:rsidRPr="002D3F2A">
              <w:rPr>
                <w:rFonts w:ascii="Arial" w:hAnsi="Arial" w:cs="Arial"/>
                <w:b/>
                <w:noProof/>
                <w:sz w:val="22"/>
                <w:szCs w:val="22"/>
                <w:lang w:eastAsia="en-GB"/>
              </w:rPr>
              <w:drawing>
                <wp:inline distT="0" distB="0" distL="0" distR="0">
                  <wp:extent cx="1570612" cy="118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0px-St_Katarine's_Docks.jpg"/>
                          <pic:cNvPicPr/>
                        </pic:nvPicPr>
                        <pic:blipFill>
                          <a:blip r:embed="rId11">
                            <a:extLst>
                              <a:ext uri="{28A0092B-C50C-407E-A947-70E740481C1C}">
                                <a14:useLocalDpi xmlns:a14="http://schemas.microsoft.com/office/drawing/2010/main" val="0"/>
                              </a:ext>
                            </a:extLst>
                          </a:blip>
                          <a:stretch>
                            <a:fillRect/>
                          </a:stretch>
                        </pic:blipFill>
                        <pic:spPr>
                          <a:xfrm>
                            <a:off x="0" y="0"/>
                            <a:ext cx="1611646" cy="1211957"/>
                          </a:xfrm>
                          <a:prstGeom prst="rect">
                            <a:avLst/>
                          </a:prstGeom>
                        </pic:spPr>
                      </pic:pic>
                    </a:graphicData>
                  </a:graphic>
                </wp:inline>
              </w:drawing>
            </w:r>
          </w:p>
        </w:tc>
        <w:tc>
          <w:tcPr>
            <w:tcW w:w="2721" w:type="dxa"/>
          </w:tcPr>
          <w:p w:rsidR="00205FBE" w:rsidRPr="002D3F2A" w:rsidRDefault="00205FBE" w:rsidP="00587526">
            <w:pPr>
              <w:pStyle w:val="Default"/>
              <w:rPr>
                <w:rFonts w:ascii="Arial" w:hAnsi="Arial" w:cs="Arial"/>
                <w:b/>
                <w:sz w:val="22"/>
                <w:szCs w:val="22"/>
              </w:rPr>
            </w:pPr>
            <w:r w:rsidRPr="002D3F2A">
              <w:rPr>
                <w:rFonts w:ascii="Arial" w:hAnsi="Arial" w:cs="Arial"/>
                <w:b/>
                <w:noProof/>
                <w:sz w:val="22"/>
                <w:szCs w:val="22"/>
                <w:lang w:eastAsia="en-GB"/>
              </w:rPr>
              <w:drawing>
                <wp:inline distT="0" distB="0" distL="0" distR="0">
                  <wp:extent cx="1590675" cy="119147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ary wharf hosuing.jpg"/>
                          <pic:cNvPicPr/>
                        </pic:nvPicPr>
                        <pic:blipFill>
                          <a:blip r:embed="rId12">
                            <a:extLst>
                              <a:ext uri="{28A0092B-C50C-407E-A947-70E740481C1C}">
                                <a14:useLocalDpi xmlns:a14="http://schemas.microsoft.com/office/drawing/2010/main" val="0"/>
                              </a:ext>
                            </a:extLst>
                          </a:blip>
                          <a:stretch>
                            <a:fillRect/>
                          </a:stretch>
                        </pic:blipFill>
                        <pic:spPr>
                          <a:xfrm>
                            <a:off x="0" y="0"/>
                            <a:ext cx="1626039" cy="1217960"/>
                          </a:xfrm>
                          <a:prstGeom prst="rect">
                            <a:avLst/>
                          </a:prstGeom>
                        </pic:spPr>
                      </pic:pic>
                    </a:graphicData>
                  </a:graphic>
                </wp:inline>
              </w:drawing>
            </w:r>
          </w:p>
        </w:tc>
        <w:tc>
          <w:tcPr>
            <w:tcW w:w="2736" w:type="dxa"/>
          </w:tcPr>
          <w:p w:rsidR="00205FBE" w:rsidRPr="002D3F2A" w:rsidRDefault="00F62865" w:rsidP="00587526">
            <w:pPr>
              <w:pStyle w:val="Default"/>
              <w:rPr>
                <w:rFonts w:ascii="Arial" w:hAnsi="Arial" w:cs="Arial"/>
                <w:b/>
                <w:sz w:val="22"/>
                <w:szCs w:val="22"/>
              </w:rPr>
            </w:pPr>
            <w:r w:rsidRPr="002D3F2A">
              <w:rPr>
                <w:rFonts w:ascii="Arial" w:hAnsi="Arial" w:cs="Arial"/>
                <w:b/>
                <w:noProof/>
                <w:sz w:val="22"/>
                <w:szCs w:val="22"/>
                <w:lang w:eastAsia="en-GB"/>
              </w:rPr>
              <w:drawing>
                <wp:inline distT="0" distB="0" distL="0" distR="0">
                  <wp:extent cx="1595120" cy="1169338"/>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nsbury estate.jpg"/>
                          <pic:cNvPicPr/>
                        </pic:nvPicPr>
                        <pic:blipFill rotWithShape="1">
                          <a:blip r:embed="rId13" cstate="print">
                            <a:extLst>
                              <a:ext uri="{28A0092B-C50C-407E-A947-70E740481C1C}">
                                <a14:useLocalDpi xmlns:a14="http://schemas.microsoft.com/office/drawing/2010/main" val="0"/>
                              </a:ext>
                            </a:extLst>
                          </a:blip>
                          <a:srcRect l="9206"/>
                          <a:stretch/>
                        </pic:blipFill>
                        <pic:spPr bwMode="auto">
                          <a:xfrm>
                            <a:off x="0" y="0"/>
                            <a:ext cx="1636514" cy="1199683"/>
                          </a:xfrm>
                          <a:prstGeom prst="rect">
                            <a:avLst/>
                          </a:prstGeom>
                          <a:ln>
                            <a:noFill/>
                          </a:ln>
                          <a:extLst>
                            <a:ext uri="{53640926-AAD7-44D8-BBD7-CCE9431645EC}">
                              <a14:shadowObscured xmlns:a14="http://schemas.microsoft.com/office/drawing/2010/main"/>
                            </a:ext>
                          </a:extLst>
                        </pic:spPr>
                      </pic:pic>
                    </a:graphicData>
                  </a:graphic>
                </wp:inline>
              </w:drawing>
            </w:r>
          </w:p>
        </w:tc>
        <w:tc>
          <w:tcPr>
            <w:tcW w:w="2310" w:type="dxa"/>
          </w:tcPr>
          <w:p w:rsidR="00205FBE" w:rsidRPr="002D3F2A" w:rsidRDefault="00F62865" w:rsidP="00587526">
            <w:pPr>
              <w:pStyle w:val="Default"/>
              <w:rPr>
                <w:rFonts w:ascii="Arial" w:hAnsi="Arial" w:cs="Arial"/>
                <w:b/>
                <w:sz w:val="22"/>
                <w:szCs w:val="22"/>
              </w:rPr>
            </w:pPr>
            <w:r w:rsidRPr="002D3F2A">
              <w:rPr>
                <w:rFonts w:ascii="Arial" w:hAnsi="Arial" w:cs="Arial"/>
                <w:b/>
                <w:noProof/>
                <w:sz w:val="22"/>
                <w:szCs w:val="22"/>
                <w:lang w:eastAsia="en-GB"/>
              </w:rPr>
              <w:drawing>
                <wp:inline distT="0" distB="0" distL="0" distR="0">
                  <wp:extent cx="1322662" cy="110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w house 2.jpg"/>
                          <pic:cNvPicPr/>
                        </pic:nvPicPr>
                        <pic:blipFill rotWithShape="1">
                          <a:blip r:embed="rId14" cstate="print">
                            <a:extLst>
                              <a:ext uri="{28A0092B-C50C-407E-A947-70E740481C1C}">
                                <a14:useLocalDpi xmlns:a14="http://schemas.microsoft.com/office/drawing/2010/main" val="0"/>
                              </a:ext>
                            </a:extLst>
                          </a:blip>
                          <a:srcRect l="7650" r="12628"/>
                          <a:stretch/>
                        </pic:blipFill>
                        <pic:spPr bwMode="auto">
                          <a:xfrm>
                            <a:off x="0" y="0"/>
                            <a:ext cx="1363703" cy="1139184"/>
                          </a:xfrm>
                          <a:prstGeom prst="rect">
                            <a:avLst/>
                          </a:prstGeom>
                          <a:ln>
                            <a:noFill/>
                          </a:ln>
                          <a:extLst>
                            <a:ext uri="{53640926-AAD7-44D8-BBD7-CCE9431645EC}">
                              <a14:shadowObscured xmlns:a14="http://schemas.microsoft.com/office/drawing/2010/main"/>
                            </a:ext>
                          </a:extLst>
                        </pic:spPr>
                      </pic:pic>
                    </a:graphicData>
                  </a:graphic>
                </wp:inline>
              </w:drawing>
            </w:r>
          </w:p>
        </w:tc>
      </w:tr>
      <w:tr w:rsidR="00F62865" w:rsidRPr="002D3F2A" w:rsidTr="00F62865">
        <w:tc>
          <w:tcPr>
            <w:tcW w:w="2689" w:type="dxa"/>
          </w:tcPr>
          <w:p w:rsidR="00205FBE" w:rsidRPr="002D3F2A" w:rsidRDefault="00CA70C0" w:rsidP="007108A9">
            <w:pPr>
              <w:pStyle w:val="Default"/>
              <w:jc w:val="center"/>
              <w:rPr>
                <w:rFonts w:ascii="Arial" w:hAnsi="Arial" w:cs="Arial"/>
                <w:sz w:val="22"/>
                <w:szCs w:val="22"/>
              </w:rPr>
            </w:pPr>
            <w:r w:rsidRPr="002D3F2A">
              <w:rPr>
                <w:rFonts w:ascii="Arial" w:hAnsi="Arial" w:cs="Arial"/>
                <w:sz w:val="22"/>
                <w:szCs w:val="22"/>
              </w:rPr>
              <w:t xml:space="preserve">Housing in </w:t>
            </w:r>
            <w:r w:rsidR="00205FBE" w:rsidRPr="002D3F2A">
              <w:rPr>
                <w:rFonts w:ascii="Arial" w:hAnsi="Arial" w:cs="Arial"/>
                <w:sz w:val="22"/>
                <w:szCs w:val="22"/>
              </w:rPr>
              <w:t>St Kath</w:t>
            </w:r>
            <w:r w:rsidR="007108A9" w:rsidRPr="002D3F2A">
              <w:rPr>
                <w:rFonts w:ascii="Arial" w:hAnsi="Arial" w:cs="Arial"/>
                <w:sz w:val="22"/>
                <w:szCs w:val="22"/>
              </w:rPr>
              <w:t>a</w:t>
            </w:r>
            <w:r w:rsidR="00205FBE" w:rsidRPr="002D3F2A">
              <w:rPr>
                <w:rFonts w:ascii="Arial" w:hAnsi="Arial" w:cs="Arial"/>
                <w:sz w:val="22"/>
                <w:szCs w:val="22"/>
              </w:rPr>
              <w:t>rine Dock</w:t>
            </w:r>
          </w:p>
        </w:tc>
        <w:tc>
          <w:tcPr>
            <w:tcW w:w="2721" w:type="dxa"/>
          </w:tcPr>
          <w:p w:rsidR="00F62865" w:rsidRPr="002D3F2A" w:rsidRDefault="00205FBE" w:rsidP="00F62865">
            <w:pPr>
              <w:pStyle w:val="Default"/>
              <w:jc w:val="center"/>
              <w:rPr>
                <w:rFonts w:ascii="Arial" w:hAnsi="Arial" w:cs="Arial"/>
                <w:sz w:val="22"/>
                <w:szCs w:val="22"/>
              </w:rPr>
            </w:pPr>
            <w:r w:rsidRPr="002D3F2A">
              <w:rPr>
                <w:rFonts w:ascii="Arial" w:hAnsi="Arial" w:cs="Arial"/>
                <w:sz w:val="22"/>
                <w:szCs w:val="22"/>
              </w:rPr>
              <w:t xml:space="preserve">Housing </w:t>
            </w:r>
            <w:r w:rsidR="00CA70C0" w:rsidRPr="002D3F2A">
              <w:rPr>
                <w:rFonts w:ascii="Arial" w:hAnsi="Arial" w:cs="Arial"/>
                <w:sz w:val="22"/>
                <w:szCs w:val="22"/>
              </w:rPr>
              <w:t xml:space="preserve">in </w:t>
            </w:r>
            <w:r w:rsidRPr="002D3F2A">
              <w:rPr>
                <w:rFonts w:ascii="Arial" w:hAnsi="Arial" w:cs="Arial"/>
                <w:sz w:val="22"/>
                <w:szCs w:val="22"/>
              </w:rPr>
              <w:t>Canary Wharf</w:t>
            </w:r>
            <w:r w:rsidR="007108A9" w:rsidRPr="002D3F2A">
              <w:rPr>
                <w:rFonts w:ascii="Arial" w:hAnsi="Arial" w:cs="Arial"/>
                <w:sz w:val="22"/>
                <w:szCs w:val="22"/>
              </w:rPr>
              <w:t xml:space="preserve"> area </w:t>
            </w:r>
          </w:p>
          <w:p w:rsidR="00205FBE" w:rsidRPr="002D3F2A" w:rsidRDefault="00CA70C0" w:rsidP="00F62865">
            <w:pPr>
              <w:pStyle w:val="Default"/>
              <w:jc w:val="center"/>
              <w:rPr>
                <w:rFonts w:ascii="Arial" w:hAnsi="Arial" w:cs="Arial"/>
                <w:sz w:val="22"/>
                <w:szCs w:val="22"/>
              </w:rPr>
            </w:pPr>
            <w:r w:rsidRPr="002D3F2A">
              <w:rPr>
                <w:rFonts w:ascii="Arial" w:hAnsi="Arial" w:cs="Arial"/>
                <w:sz w:val="22"/>
                <w:szCs w:val="22"/>
              </w:rPr>
              <w:t xml:space="preserve">(Millwall </w:t>
            </w:r>
            <w:r w:rsidR="00F62865" w:rsidRPr="002D3F2A">
              <w:rPr>
                <w:rFonts w:ascii="Arial" w:hAnsi="Arial" w:cs="Arial"/>
                <w:sz w:val="22"/>
                <w:szCs w:val="22"/>
              </w:rPr>
              <w:t>ward)</w:t>
            </w:r>
          </w:p>
        </w:tc>
        <w:tc>
          <w:tcPr>
            <w:tcW w:w="2736" w:type="dxa"/>
          </w:tcPr>
          <w:p w:rsidR="00205FBE" w:rsidRPr="002D3F2A" w:rsidRDefault="00F62865" w:rsidP="007108A9">
            <w:pPr>
              <w:pStyle w:val="Default"/>
              <w:jc w:val="center"/>
              <w:rPr>
                <w:rFonts w:ascii="Arial" w:hAnsi="Arial" w:cs="Arial"/>
                <w:sz w:val="22"/>
                <w:szCs w:val="22"/>
              </w:rPr>
            </w:pPr>
            <w:r w:rsidRPr="002D3F2A">
              <w:rPr>
                <w:rFonts w:ascii="Arial" w:hAnsi="Arial" w:cs="Arial"/>
                <w:sz w:val="22"/>
                <w:szCs w:val="22"/>
              </w:rPr>
              <w:t xml:space="preserve">Lansbury </w:t>
            </w:r>
            <w:r w:rsidR="007108A9" w:rsidRPr="002D3F2A">
              <w:rPr>
                <w:rFonts w:ascii="Arial" w:hAnsi="Arial" w:cs="Arial"/>
                <w:sz w:val="22"/>
                <w:szCs w:val="22"/>
              </w:rPr>
              <w:t>E</w:t>
            </w:r>
            <w:r w:rsidRPr="002D3F2A">
              <w:rPr>
                <w:rFonts w:ascii="Arial" w:hAnsi="Arial" w:cs="Arial"/>
                <w:sz w:val="22"/>
                <w:szCs w:val="22"/>
              </w:rPr>
              <w:t>state</w:t>
            </w:r>
          </w:p>
        </w:tc>
        <w:tc>
          <w:tcPr>
            <w:tcW w:w="2310" w:type="dxa"/>
          </w:tcPr>
          <w:p w:rsidR="00205FBE" w:rsidRPr="002D3F2A" w:rsidRDefault="00F62865" w:rsidP="00F62865">
            <w:pPr>
              <w:pStyle w:val="Default"/>
              <w:jc w:val="center"/>
              <w:rPr>
                <w:rFonts w:ascii="Arial" w:hAnsi="Arial" w:cs="Arial"/>
                <w:sz w:val="22"/>
                <w:szCs w:val="22"/>
              </w:rPr>
            </w:pPr>
            <w:r w:rsidRPr="002D3F2A">
              <w:rPr>
                <w:rFonts w:ascii="Arial" w:hAnsi="Arial" w:cs="Arial"/>
                <w:sz w:val="22"/>
                <w:szCs w:val="22"/>
              </w:rPr>
              <w:t>Bow west</w:t>
            </w:r>
          </w:p>
        </w:tc>
      </w:tr>
    </w:tbl>
    <w:p w:rsidR="00C55259" w:rsidRPr="002D3F2A" w:rsidRDefault="00C55259" w:rsidP="00587526">
      <w:pPr>
        <w:pStyle w:val="Default"/>
        <w:rPr>
          <w:rFonts w:ascii="Arial" w:hAnsi="Arial" w:cs="Arial"/>
          <w:b/>
          <w:sz w:val="22"/>
          <w:szCs w:val="22"/>
        </w:rPr>
      </w:pPr>
    </w:p>
    <w:p w:rsidR="00150728" w:rsidRPr="002D3F2A" w:rsidRDefault="00150728" w:rsidP="00150728">
      <w:pPr>
        <w:pStyle w:val="Default"/>
        <w:rPr>
          <w:rFonts w:ascii="Arial" w:hAnsi="Arial" w:cs="Arial"/>
          <w:iCs/>
          <w:sz w:val="23"/>
          <w:szCs w:val="23"/>
        </w:rPr>
      </w:pPr>
    </w:p>
    <w:tbl>
      <w:tblPr>
        <w:tblStyle w:val="TableGrid"/>
        <w:tblW w:w="0" w:type="auto"/>
        <w:tblLook w:val="04A0" w:firstRow="1" w:lastRow="0" w:firstColumn="1" w:lastColumn="0" w:noHBand="0" w:noVBand="1"/>
      </w:tblPr>
      <w:tblGrid>
        <w:gridCol w:w="10456"/>
      </w:tblGrid>
      <w:tr w:rsidR="00C55259" w:rsidRPr="002D3F2A" w:rsidTr="00C55259">
        <w:tc>
          <w:tcPr>
            <w:tcW w:w="10456" w:type="dxa"/>
          </w:tcPr>
          <w:p w:rsidR="00C55259" w:rsidRPr="002D3F2A" w:rsidRDefault="00C55259" w:rsidP="00C55259">
            <w:pPr>
              <w:pStyle w:val="Default"/>
              <w:jc w:val="center"/>
              <w:rPr>
                <w:rFonts w:ascii="Arial" w:hAnsi="Arial" w:cs="Arial"/>
                <w:sz w:val="36"/>
                <w:szCs w:val="36"/>
              </w:rPr>
            </w:pPr>
            <w:r w:rsidRPr="002D3F2A">
              <w:rPr>
                <w:rFonts w:ascii="Arial" w:hAnsi="Arial" w:cs="Arial"/>
                <w:sz w:val="36"/>
                <w:szCs w:val="36"/>
              </w:rPr>
              <w:t>Activity</w:t>
            </w:r>
          </w:p>
          <w:p w:rsidR="00C55259" w:rsidRPr="002D3F2A" w:rsidRDefault="00C55259" w:rsidP="00C55259">
            <w:pPr>
              <w:pStyle w:val="Default"/>
              <w:jc w:val="center"/>
              <w:rPr>
                <w:rFonts w:ascii="Arial" w:hAnsi="Arial" w:cs="Arial"/>
                <w:sz w:val="36"/>
                <w:szCs w:val="36"/>
              </w:rPr>
            </w:pPr>
          </w:p>
          <w:p w:rsidR="00C55259" w:rsidRPr="002D3F2A" w:rsidRDefault="00C55259" w:rsidP="00C55259">
            <w:pPr>
              <w:pStyle w:val="Default"/>
              <w:numPr>
                <w:ilvl w:val="0"/>
                <w:numId w:val="4"/>
              </w:numPr>
              <w:jc w:val="center"/>
              <w:rPr>
                <w:rFonts w:ascii="Arial" w:hAnsi="Arial" w:cs="Arial"/>
                <w:iCs/>
                <w:sz w:val="23"/>
                <w:szCs w:val="23"/>
              </w:rPr>
            </w:pPr>
            <w:r w:rsidRPr="002D3F2A">
              <w:rPr>
                <w:rFonts w:ascii="Arial" w:hAnsi="Arial" w:cs="Arial"/>
                <w:iCs/>
                <w:sz w:val="23"/>
                <w:szCs w:val="23"/>
              </w:rPr>
              <w:t>Describe the changes shown by the map and the table</w:t>
            </w:r>
          </w:p>
          <w:p w:rsidR="00C55259" w:rsidRPr="002D3F2A" w:rsidRDefault="00C55259" w:rsidP="00C55259">
            <w:pPr>
              <w:pStyle w:val="Default"/>
              <w:jc w:val="center"/>
              <w:rPr>
                <w:rFonts w:ascii="Arial" w:hAnsi="Arial" w:cs="Arial"/>
                <w:sz w:val="22"/>
                <w:szCs w:val="22"/>
              </w:rPr>
            </w:pPr>
          </w:p>
          <w:p w:rsidR="00C55259" w:rsidRPr="002D3F2A" w:rsidRDefault="00C55259" w:rsidP="00C55259">
            <w:pPr>
              <w:pStyle w:val="Default"/>
              <w:numPr>
                <w:ilvl w:val="0"/>
                <w:numId w:val="4"/>
              </w:numPr>
              <w:jc w:val="center"/>
              <w:rPr>
                <w:rFonts w:ascii="Arial" w:hAnsi="Arial" w:cs="Arial"/>
                <w:sz w:val="23"/>
                <w:szCs w:val="23"/>
              </w:rPr>
            </w:pPr>
            <w:r w:rsidRPr="002D3F2A">
              <w:rPr>
                <w:rFonts w:ascii="Arial" w:hAnsi="Arial" w:cs="Arial"/>
                <w:sz w:val="23"/>
                <w:szCs w:val="23"/>
              </w:rPr>
              <w:t>Suggest reasons to account for these changes</w:t>
            </w:r>
          </w:p>
          <w:p w:rsidR="00C55259" w:rsidRPr="002D3F2A" w:rsidRDefault="00C55259" w:rsidP="00C55259">
            <w:pPr>
              <w:pStyle w:val="Default"/>
              <w:jc w:val="center"/>
              <w:rPr>
                <w:rFonts w:ascii="Arial" w:hAnsi="Arial" w:cs="Arial"/>
                <w:sz w:val="23"/>
                <w:szCs w:val="23"/>
              </w:rPr>
            </w:pPr>
          </w:p>
          <w:p w:rsidR="00C55259" w:rsidRPr="002D3F2A" w:rsidRDefault="00C55259" w:rsidP="00C55259">
            <w:pPr>
              <w:pStyle w:val="Default"/>
              <w:numPr>
                <w:ilvl w:val="0"/>
                <w:numId w:val="4"/>
              </w:numPr>
              <w:jc w:val="center"/>
              <w:rPr>
                <w:rFonts w:ascii="Arial" w:hAnsi="Arial" w:cs="Arial"/>
                <w:iCs/>
                <w:sz w:val="23"/>
                <w:szCs w:val="23"/>
              </w:rPr>
            </w:pPr>
            <w:r w:rsidRPr="002D3F2A">
              <w:rPr>
                <w:rFonts w:ascii="Arial" w:hAnsi="Arial" w:cs="Arial"/>
                <w:iCs/>
                <w:sz w:val="23"/>
                <w:szCs w:val="23"/>
              </w:rPr>
              <w:t>What additional data would be useful to help with your analysis?</w:t>
            </w:r>
          </w:p>
          <w:p w:rsidR="00C55259" w:rsidRPr="002D3F2A" w:rsidRDefault="00C55259" w:rsidP="00150728">
            <w:pPr>
              <w:pStyle w:val="Default"/>
              <w:rPr>
                <w:rFonts w:ascii="Arial" w:hAnsi="Arial" w:cs="Arial"/>
                <w:iCs/>
                <w:sz w:val="23"/>
                <w:szCs w:val="23"/>
              </w:rPr>
            </w:pPr>
          </w:p>
        </w:tc>
      </w:tr>
    </w:tbl>
    <w:p w:rsidR="00150728" w:rsidRPr="002D3F2A" w:rsidRDefault="00150728" w:rsidP="00150728">
      <w:pPr>
        <w:pStyle w:val="Default"/>
        <w:rPr>
          <w:rFonts w:ascii="Arial" w:hAnsi="Arial" w:cs="Arial"/>
          <w:iCs/>
          <w:sz w:val="23"/>
          <w:szCs w:val="23"/>
        </w:rPr>
      </w:pPr>
    </w:p>
    <w:p w:rsidR="00150728" w:rsidRPr="002D3F2A" w:rsidRDefault="00C55259" w:rsidP="00C55259">
      <w:pPr>
        <w:pStyle w:val="Default"/>
        <w:jc w:val="center"/>
        <w:rPr>
          <w:rFonts w:ascii="Arial" w:hAnsi="Arial" w:cs="Arial"/>
          <w:b/>
          <w:sz w:val="36"/>
          <w:szCs w:val="36"/>
        </w:rPr>
      </w:pPr>
      <w:r w:rsidRPr="002D3F2A">
        <w:rPr>
          <w:rFonts w:ascii="Arial" w:hAnsi="Arial" w:cs="Arial"/>
          <w:b/>
          <w:sz w:val="36"/>
          <w:szCs w:val="36"/>
        </w:rPr>
        <w:t xml:space="preserve">For teachers- </w:t>
      </w:r>
      <w:r w:rsidR="00150728" w:rsidRPr="002D3F2A">
        <w:rPr>
          <w:rFonts w:ascii="Arial" w:hAnsi="Arial" w:cs="Arial"/>
          <w:b/>
          <w:sz w:val="36"/>
          <w:szCs w:val="36"/>
        </w:rPr>
        <w:t>Some suggested answers to activity</w:t>
      </w:r>
    </w:p>
    <w:p w:rsidR="00150728" w:rsidRPr="002D3F2A" w:rsidRDefault="00150728" w:rsidP="00587526">
      <w:pPr>
        <w:pStyle w:val="Default"/>
        <w:rPr>
          <w:rFonts w:ascii="Arial" w:hAnsi="Arial" w:cs="Arial"/>
          <w:b/>
          <w:sz w:val="22"/>
          <w:szCs w:val="22"/>
        </w:rPr>
      </w:pPr>
    </w:p>
    <w:p w:rsidR="003A470F" w:rsidRPr="002D3F2A" w:rsidRDefault="003A470F" w:rsidP="00C55259">
      <w:pPr>
        <w:pStyle w:val="Default"/>
        <w:numPr>
          <w:ilvl w:val="0"/>
          <w:numId w:val="5"/>
        </w:numPr>
        <w:rPr>
          <w:rFonts w:ascii="Arial" w:hAnsi="Arial" w:cs="Arial"/>
          <w:b/>
          <w:i/>
          <w:iCs/>
          <w:sz w:val="23"/>
          <w:szCs w:val="23"/>
        </w:rPr>
      </w:pPr>
      <w:r w:rsidRPr="002D3F2A">
        <w:rPr>
          <w:rFonts w:ascii="Arial" w:hAnsi="Arial" w:cs="Arial"/>
          <w:b/>
          <w:i/>
          <w:iCs/>
          <w:sz w:val="23"/>
          <w:szCs w:val="23"/>
        </w:rPr>
        <w:t xml:space="preserve">Describe the changes shown by the map and the table </w:t>
      </w:r>
    </w:p>
    <w:p w:rsidR="003A470F" w:rsidRPr="002D3F2A" w:rsidRDefault="003A470F" w:rsidP="003A470F">
      <w:pPr>
        <w:pStyle w:val="Default"/>
        <w:numPr>
          <w:ilvl w:val="0"/>
          <w:numId w:val="1"/>
        </w:numPr>
        <w:rPr>
          <w:rFonts w:ascii="Arial" w:hAnsi="Arial" w:cs="Arial"/>
          <w:sz w:val="23"/>
          <w:szCs w:val="23"/>
        </w:rPr>
      </w:pPr>
      <w:r w:rsidRPr="002D3F2A">
        <w:rPr>
          <w:rFonts w:ascii="Arial" w:hAnsi="Arial" w:cs="Arial"/>
          <w:sz w:val="23"/>
          <w:szCs w:val="23"/>
        </w:rPr>
        <w:t xml:space="preserve">Data for the last 5 years shows that the median household income in most wards has increased, often above the London and Great Britain average. </w:t>
      </w:r>
    </w:p>
    <w:p w:rsidR="003A470F" w:rsidRPr="002D3F2A" w:rsidRDefault="003A470F" w:rsidP="003A470F">
      <w:pPr>
        <w:pStyle w:val="Default"/>
        <w:numPr>
          <w:ilvl w:val="0"/>
          <w:numId w:val="1"/>
        </w:numPr>
        <w:rPr>
          <w:rFonts w:ascii="Arial" w:hAnsi="Arial" w:cs="Arial"/>
          <w:sz w:val="23"/>
          <w:szCs w:val="23"/>
        </w:rPr>
      </w:pPr>
      <w:r w:rsidRPr="002D3F2A">
        <w:rPr>
          <w:rFonts w:ascii="Arial" w:hAnsi="Arial" w:cs="Arial"/>
          <w:sz w:val="23"/>
          <w:szCs w:val="23"/>
        </w:rPr>
        <w:t xml:space="preserve">Tower Hamlets has increased in median wealth by 9.2% in this period compared to just 5.1% </w:t>
      </w:r>
      <w:r w:rsidR="00926B59" w:rsidRPr="002D3F2A">
        <w:rPr>
          <w:rFonts w:ascii="Arial" w:hAnsi="Arial" w:cs="Arial"/>
          <w:sz w:val="23"/>
          <w:szCs w:val="23"/>
        </w:rPr>
        <w:t>increase in</w:t>
      </w:r>
      <w:r w:rsidRPr="002D3F2A">
        <w:rPr>
          <w:rFonts w:ascii="Arial" w:hAnsi="Arial" w:cs="Arial"/>
          <w:sz w:val="23"/>
          <w:szCs w:val="23"/>
        </w:rPr>
        <w:t xml:space="preserve"> London and just 3.7% in GB as a whole. </w:t>
      </w:r>
    </w:p>
    <w:p w:rsidR="00926B59" w:rsidRPr="002D3F2A" w:rsidRDefault="00926B59" w:rsidP="003A470F">
      <w:pPr>
        <w:pStyle w:val="Default"/>
        <w:numPr>
          <w:ilvl w:val="0"/>
          <w:numId w:val="1"/>
        </w:numPr>
        <w:rPr>
          <w:rFonts w:ascii="Arial" w:hAnsi="Arial" w:cs="Arial"/>
          <w:sz w:val="23"/>
          <w:szCs w:val="23"/>
        </w:rPr>
      </w:pPr>
      <w:r w:rsidRPr="002D3F2A">
        <w:rPr>
          <w:rFonts w:ascii="Arial" w:hAnsi="Arial" w:cs="Arial"/>
          <w:sz w:val="23"/>
          <w:szCs w:val="23"/>
        </w:rPr>
        <w:t xml:space="preserve">The median income for Tower Hamlets remains lower than the median income for the whole of London. </w:t>
      </w:r>
    </w:p>
    <w:p w:rsidR="003A470F" w:rsidRPr="002D3F2A" w:rsidRDefault="003A470F" w:rsidP="003A470F">
      <w:pPr>
        <w:pStyle w:val="Default"/>
        <w:numPr>
          <w:ilvl w:val="0"/>
          <w:numId w:val="1"/>
        </w:numPr>
        <w:rPr>
          <w:rFonts w:ascii="Arial" w:hAnsi="Arial" w:cs="Arial"/>
          <w:b/>
          <w:i/>
          <w:iCs/>
          <w:sz w:val="23"/>
          <w:szCs w:val="23"/>
        </w:rPr>
      </w:pPr>
      <w:r w:rsidRPr="002D3F2A">
        <w:rPr>
          <w:rFonts w:ascii="Arial" w:hAnsi="Arial" w:cs="Arial"/>
          <w:sz w:val="23"/>
          <w:szCs w:val="23"/>
        </w:rPr>
        <w:t xml:space="preserve">Broadly speaking there is little change in location of where the poorest and richest areas are within Tower Hamlets. The poorest areas remain in the east and centre of the borough. The richest areas remain nearest the banks of the Thames, in the </w:t>
      </w:r>
      <w:r w:rsidR="00926B59" w:rsidRPr="002D3F2A">
        <w:rPr>
          <w:rFonts w:ascii="Arial" w:hAnsi="Arial" w:cs="Arial"/>
          <w:sz w:val="23"/>
          <w:szCs w:val="23"/>
        </w:rPr>
        <w:t>C</w:t>
      </w:r>
      <w:r w:rsidRPr="002D3F2A">
        <w:rPr>
          <w:rFonts w:ascii="Arial" w:hAnsi="Arial" w:cs="Arial"/>
          <w:sz w:val="23"/>
          <w:szCs w:val="23"/>
        </w:rPr>
        <w:t xml:space="preserve">anary </w:t>
      </w:r>
      <w:r w:rsidR="00926B59" w:rsidRPr="002D3F2A">
        <w:rPr>
          <w:rFonts w:ascii="Arial" w:hAnsi="Arial" w:cs="Arial"/>
          <w:sz w:val="23"/>
          <w:szCs w:val="23"/>
        </w:rPr>
        <w:t>W</w:t>
      </w:r>
      <w:r w:rsidRPr="002D3F2A">
        <w:rPr>
          <w:rFonts w:ascii="Arial" w:hAnsi="Arial" w:cs="Arial"/>
          <w:sz w:val="23"/>
          <w:szCs w:val="23"/>
        </w:rPr>
        <w:t xml:space="preserve">harf area of the isle of dogs and in the areas nearest to the city of London to the west of the borough </w:t>
      </w:r>
    </w:p>
    <w:p w:rsidR="003A470F" w:rsidRPr="002D3F2A" w:rsidRDefault="003A470F" w:rsidP="003A470F">
      <w:pPr>
        <w:pStyle w:val="Default"/>
        <w:numPr>
          <w:ilvl w:val="0"/>
          <w:numId w:val="1"/>
        </w:numPr>
        <w:rPr>
          <w:rFonts w:ascii="Arial" w:hAnsi="Arial" w:cs="Arial"/>
          <w:b/>
          <w:i/>
          <w:iCs/>
          <w:sz w:val="23"/>
          <w:szCs w:val="23"/>
        </w:rPr>
      </w:pPr>
      <w:r w:rsidRPr="002D3F2A">
        <w:rPr>
          <w:rFonts w:ascii="Arial" w:hAnsi="Arial" w:cs="Arial"/>
          <w:sz w:val="23"/>
          <w:szCs w:val="23"/>
        </w:rPr>
        <w:t>The data also indicates that lower income wards have been catching up to some extent with the high income wards.</w:t>
      </w:r>
    </w:p>
    <w:p w:rsidR="00926B59" w:rsidRPr="002D3F2A" w:rsidRDefault="00926B59" w:rsidP="00926B59">
      <w:pPr>
        <w:pStyle w:val="Default"/>
        <w:numPr>
          <w:ilvl w:val="0"/>
          <w:numId w:val="1"/>
        </w:numPr>
        <w:rPr>
          <w:rFonts w:ascii="Arial" w:hAnsi="Arial" w:cs="Arial"/>
          <w:sz w:val="23"/>
          <w:szCs w:val="23"/>
        </w:rPr>
      </w:pPr>
      <w:r w:rsidRPr="002D3F2A">
        <w:rPr>
          <w:rFonts w:ascii="Arial" w:hAnsi="Arial" w:cs="Arial"/>
          <w:sz w:val="23"/>
          <w:szCs w:val="23"/>
        </w:rPr>
        <w:t>The strongest increase took place in East India &amp; Lansbury (15.4%), Whitechapel, (15.2%), Shadwell, (15.2%), Weavers (14.1%) and Millwall</w:t>
      </w:r>
      <w:r w:rsidR="007108A9" w:rsidRPr="002D3F2A">
        <w:rPr>
          <w:rFonts w:ascii="Arial" w:hAnsi="Arial" w:cs="Arial"/>
          <w:sz w:val="23"/>
          <w:szCs w:val="23"/>
        </w:rPr>
        <w:t xml:space="preserve"> </w:t>
      </w:r>
      <w:r w:rsidRPr="002D3F2A">
        <w:rPr>
          <w:rFonts w:ascii="Arial" w:hAnsi="Arial" w:cs="Arial"/>
          <w:sz w:val="23"/>
          <w:szCs w:val="23"/>
        </w:rPr>
        <w:t xml:space="preserve">(12.7%). Changes in those areas are significantly above TH, London and GB average increases. </w:t>
      </w:r>
    </w:p>
    <w:p w:rsidR="003A470F" w:rsidRPr="002D3F2A" w:rsidRDefault="003A470F" w:rsidP="003A470F">
      <w:pPr>
        <w:pStyle w:val="Default"/>
        <w:rPr>
          <w:rFonts w:ascii="Arial" w:hAnsi="Arial" w:cs="Arial"/>
          <w:b/>
          <w:i/>
          <w:iCs/>
          <w:sz w:val="23"/>
          <w:szCs w:val="23"/>
        </w:rPr>
      </w:pPr>
    </w:p>
    <w:p w:rsidR="003A470F" w:rsidRPr="002D3F2A" w:rsidRDefault="003A470F" w:rsidP="00C55259">
      <w:pPr>
        <w:pStyle w:val="Default"/>
        <w:numPr>
          <w:ilvl w:val="0"/>
          <w:numId w:val="5"/>
        </w:numPr>
        <w:rPr>
          <w:rFonts w:ascii="Arial" w:hAnsi="Arial" w:cs="Arial"/>
          <w:b/>
          <w:sz w:val="23"/>
          <w:szCs w:val="23"/>
        </w:rPr>
      </w:pPr>
      <w:r w:rsidRPr="002D3F2A">
        <w:rPr>
          <w:rFonts w:ascii="Arial" w:hAnsi="Arial" w:cs="Arial"/>
          <w:b/>
          <w:sz w:val="23"/>
          <w:szCs w:val="23"/>
        </w:rPr>
        <w:t xml:space="preserve">Suggest reasons to account for these changes </w:t>
      </w:r>
    </w:p>
    <w:p w:rsidR="003A470F" w:rsidRPr="002D3F2A" w:rsidRDefault="003A470F" w:rsidP="003A470F">
      <w:pPr>
        <w:pStyle w:val="Default"/>
        <w:rPr>
          <w:rFonts w:ascii="Arial" w:hAnsi="Arial" w:cs="Arial"/>
          <w:b/>
          <w:sz w:val="23"/>
          <w:szCs w:val="23"/>
        </w:rPr>
      </w:pPr>
    </w:p>
    <w:p w:rsidR="003A470F" w:rsidRPr="002D3F2A" w:rsidRDefault="00926B59" w:rsidP="00926B59">
      <w:pPr>
        <w:pStyle w:val="Default"/>
        <w:numPr>
          <w:ilvl w:val="0"/>
          <w:numId w:val="2"/>
        </w:numPr>
        <w:rPr>
          <w:rFonts w:ascii="Arial" w:hAnsi="Arial" w:cs="Arial"/>
          <w:iCs/>
          <w:sz w:val="23"/>
          <w:szCs w:val="23"/>
        </w:rPr>
      </w:pPr>
      <w:r w:rsidRPr="002D3F2A">
        <w:rPr>
          <w:rFonts w:ascii="Arial" w:hAnsi="Arial" w:cs="Arial"/>
          <w:iCs/>
          <w:sz w:val="23"/>
          <w:szCs w:val="23"/>
        </w:rPr>
        <w:t xml:space="preserve">The strongest increase in income the east and centre areas of TH relates to new housing developments in these locations which have attracted new higher income residents </w:t>
      </w:r>
    </w:p>
    <w:p w:rsidR="00926B59" w:rsidRPr="002D3F2A" w:rsidRDefault="00926B59" w:rsidP="00926B59">
      <w:pPr>
        <w:pStyle w:val="Default"/>
        <w:numPr>
          <w:ilvl w:val="0"/>
          <w:numId w:val="2"/>
        </w:numPr>
        <w:rPr>
          <w:rFonts w:ascii="Arial" w:hAnsi="Arial" w:cs="Arial"/>
          <w:iCs/>
          <w:sz w:val="23"/>
          <w:szCs w:val="23"/>
        </w:rPr>
      </w:pPr>
      <w:r w:rsidRPr="002D3F2A">
        <w:rPr>
          <w:rFonts w:ascii="Arial" w:hAnsi="Arial" w:cs="Arial"/>
          <w:iCs/>
          <w:sz w:val="23"/>
          <w:szCs w:val="23"/>
        </w:rPr>
        <w:t xml:space="preserve">Remaining and existing residents may have also seen an increase in household income </w:t>
      </w:r>
    </w:p>
    <w:p w:rsidR="00926B59" w:rsidRPr="002D3F2A" w:rsidRDefault="00926B59" w:rsidP="00926B59">
      <w:pPr>
        <w:pStyle w:val="Default"/>
        <w:numPr>
          <w:ilvl w:val="0"/>
          <w:numId w:val="2"/>
        </w:numPr>
        <w:rPr>
          <w:rFonts w:ascii="Arial" w:hAnsi="Arial" w:cs="Arial"/>
          <w:sz w:val="23"/>
          <w:szCs w:val="23"/>
        </w:rPr>
      </w:pPr>
      <w:r w:rsidRPr="002D3F2A">
        <w:rPr>
          <w:rFonts w:ascii="Arial" w:hAnsi="Arial" w:cs="Arial"/>
          <w:sz w:val="23"/>
          <w:szCs w:val="23"/>
        </w:rPr>
        <w:t xml:space="preserve">The lowest increase, even below London average, took place in Limehouse, St Katherine’s &amp; Wapping and Blackwell and Cubitt Town and this reflects the fact that these areas were gentrifies many years ago and the existing population is not greatly changing now in terms of demographics/ social status. </w:t>
      </w:r>
    </w:p>
    <w:p w:rsidR="00926B59" w:rsidRPr="002D3F2A" w:rsidRDefault="00926B59" w:rsidP="00926B59">
      <w:pPr>
        <w:pStyle w:val="Default"/>
        <w:numPr>
          <w:ilvl w:val="0"/>
          <w:numId w:val="2"/>
        </w:numPr>
        <w:rPr>
          <w:rFonts w:ascii="Arial" w:hAnsi="Arial" w:cs="Arial"/>
        </w:rPr>
      </w:pPr>
      <w:r w:rsidRPr="002D3F2A">
        <w:rPr>
          <w:rFonts w:ascii="Arial" w:hAnsi="Arial" w:cs="Arial"/>
          <w:sz w:val="23"/>
          <w:szCs w:val="23"/>
        </w:rPr>
        <w:t xml:space="preserve">The 2012 Olympics had a role to play in improving job opportunities and incomes in the TH area around the 2012 period which will be reflected in these figures </w:t>
      </w:r>
    </w:p>
    <w:p w:rsidR="00926B59" w:rsidRPr="002D3F2A" w:rsidRDefault="00926B59" w:rsidP="00926B59">
      <w:pPr>
        <w:pStyle w:val="Default"/>
        <w:numPr>
          <w:ilvl w:val="0"/>
          <w:numId w:val="2"/>
        </w:numPr>
        <w:rPr>
          <w:rFonts w:ascii="Arial" w:hAnsi="Arial" w:cs="Arial"/>
        </w:rPr>
      </w:pPr>
      <w:r w:rsidRPr="002D3F2A">
        <w:rPr>
          <w:rFonts w:ascii="Arial" w:hAnsi="Arial" w:cs="Arial"/>
          <w:sz w:val="23"/>
          <w:szCs w:val="23"/>
        </w:rPr>
        <w:t xml:space="preserve">In the main changing income reflects changing people now living in the area rather than improved opportunities for the old residents </w:t>
      </w:r>
    </w:p>
    <w:p w:rsidR="00926B59" w:rsidRPr="002D3F2A" w:rsidRDefault="00926B59" w:rsidP="003A470F">
      <w:pPr>
        <w:pStyle w:val="Default"/>
        <w:rPr>
          <w:rFonts w:ascii="Arial" w:hAnsi="Arial" w:cs="Arial"/>
          <w:i/>
          <w:iCs/>
          <w:sz w:val="23"/>
          <w:szCs w:val="23"/>
        </w:rPr>
      </w:pPr>
    </w:p>
    <w:p w:rsidR="00150728" w:rsidRPr="002D3F2A" w:rsidRDefault="00926B59" w:rsidP="00C55259">
      <w:pPr>
        <w:pStyle w:val="Default"/>
        <w:numPr>
          <w:ilvl w:val="0"/>
          <w:numId w:val="5"/>
        </w:numPr>
        <w:rPr>
          <w:rFonts w:ascii="Arial" w:hAnsi="Arial" w:cs="Arial"/>
          <w:b/>
          <w:iCs/>
          <w:sz w:val="23"/>
          <w:szCs w:val="23"/>
        </w:rPr>
      </w:pPr>
      <w:r w:rsidRPr="002D3F2A">
        <w:rPr>
          <w:rFonts w:ascii="Arial" w:hAnsi="Arial" w:cs="Arial"/>
          <w:b/>
          <w:iCs/>
          <w:sz w:val="23"/>
          <w:szCs w:val="23"/>
        </w:rPr>
        <w:t xml:space="preserve">What </w:t>
      </w:r>
      <w:r w:rsidR="00150728" w:rsidRPr="002D3F2A">
        <w:rPr>
          <w:rFonts w:ascii="Arial" w:hAnsi="Arial" w:cs="Arial"/>
          <w:b/>
          <w:iCs/>
          <w:sz w:val="23"/>
          <w:szCs w:val="23"/>
        </w:rPr>
        <w:t xml:space="preserve">additional data would be useful to help with your analysis? </w:t>
      </w:r>
    </w:p>
    <w:p w:rsidR="00150728" w:rsidRPr="002D3F2A" w:rsidRDefault="00150728" w:rsidP="00587526">
      <w:pPr>
        <w:pStyle w:val="Default"/>
        <w:rPr>
          <w:rFonts w:ascii="Arial" w:hAnsi="Arial" w:cs="Arial"/>
          <w:iCs/>
          <w:sz w:val="23"/>
          <w:szCs w:val="23"/>
        </w:rPr>
      </w:pPr>
    </w:p>
    <w:p w:rsidR="00926B59" w:rsidRPr="002D3F2A" w:rsidRDefault="00150728" w:rsidP="00150728">
      <w:pPr>
        <w:pStyle w:val="Default"/>
        <w:numPr>
          <w:ilvl w:val="0"/>
          <w:numId w:val="3"/>
        </w:numPr>
        <w:rPr>
          <w:rFonts w:ascii="Arial" w:hAnsi="Arial" w:cs="Arial"/>
          <w:iCs/>
          <w:sz w:val="23"/>
          <w:szCs w:val="23"/>
        </w:rPr>
      </w:pPr>
      <w:r w:rsidRPr="002D3F2A">
        <w:rPr>
          <w:rFonts w:ascii="Arial" w:hAnsi="Arial" w:cs="Arial"/>
          <w:iCs/>
          <w:sz w:val="23"/>
          <w:szCs w:val="23"/>
        </w:rPr>
        <w:t xml:space="preserve">Population mobility: </w:t>
      </w:r>
      <w:r w:rsidR="00926B59" w:rsidRPr="002D3F2A">
        <w:rPr>
          <w:rFonts w:ascii="Arial" w:hAnsi="Arial" w:cs="Arial"/>
          <w:iCs/>
          <w:sz w:val="23"/>
          <w:szCs w:val="23"/>
        </w:rPr>
        <w:t>We can</w:t>
      </w:r>
      <w:r w:rsidRPr="002D3F2A">
        <w:rPr>
          <w:rFonts w:ascii="Arial" w:hAnsi="Arial" w:cs="Arial"/>
          <w:iCs/>
          <w:sz w:val="23"/>
          <w:szCs w:val="23"/>
        </w:rPr>
        <w:t>’</w:t>
      </w:r>
      <w:r w:rsidR="00926B59" w:rsidRPr="002D3F2A">
        <w:rPr>
          <w:rFonts w:ascii="Arial" w:hAnsi="Arial" w:cs="Arial"/>
          <w:iCs/>
          <w:sz w:val="23"/>
          <w:szCs w:val="23"/>
        </w:rPr>
        <w:t>t tell who has benefitted f</w:t>
      </w:r>
      <w:r w:rsidRPr="002D3F2A">
        <w:rPr>
          <w:rFonts w:ascii="Arial" w:hAnsi="Arial" w:cs="Arial"/>
          <w:iCs/>
          <w:sz w:val="23"/>
          <w:szCs w:val="23"/>
        </w:rPr>
        <w:t xml:space="preserve">rom </w:t>
      </w:r>
      <w:r w:rsidR="00926B59" w:rsidRPr="002D3F2A">
        <w:rPr>
          <w:rFonts w:ascii="Arial" w:hAnsi="Arial" w:cs="Arial"/>
          <w:iCs/>
          <w:sz w:val="23"/>
          <w:szCs w:val="23"/>
        </w:rPr>
        <w:t>these changes. Only that the postcodes ha</w:t>
      </w:r>
      <w:r w:rsidRPr="002D3F2A">
        <w:rPr>
          <w:rFonts w:ascii="Arial" w:hAnsi="Arial" w:cs="Arial"/>
          <w:iCs/>
          <w:sz w:val="23"/>
          <w:szCs w:val="23"/>
        </w:rPr>
        <w:t>d</w:t>
      </w:r>
      <w:r w:rsidR="00926B59" w:rsidRPr="002D3F2A">
        <w:rPr>
          <w:rFonts w:ascii="Arial" w:hAnsi="Arial" w:cs="Arial"/>
          <w:iCs/>
          <w:sz w:val="23"/>
          <w:szCs w:val="23"/>
        </w:rPr>
        <w:t xml:space="preserve"> richer </w:t>
      </w:r>
      <w:r w:rsidRPr="002D3F2A">
        <w:rPr>
          <w:rFonts w:ascii="Arial" w:hAnsi="Arial" w:cs="Arial"/>
          <w:iCs/>
          <w:sz w:val="23"/>
          <w:szCs w:val="23"/>
        </w:rPr>
        <w:t>people</w:t>
      </w:r>
      <w:r w:rsidR="00926B59" w:rsidRPr="002D3F2A">
        <w:rPr>
          <w:rFonts w:ascii="Arial" w:hAnsi="Arial" w:cs="Arial"/>
          <w:iCs/>
          <w:sz w:val="23"/>
          <w:szCs w:val="23"/>
        </w:rPr>
        <w:t xml:space="preserve"> living there in 20</w:t>
      </w:r>
      <w:r w:rsidRPr="002D3F2A">
        <w:rPr>
          <w:rFonts w:ascii="Arial" w:hAnsi="Arial" w:cs="Arial"/>
          <w:iCs/>
          <w:sz w:val="23"/>
          <w:szCs w:val="23"/>
        </w:rPr>
        <w:t>13 compared to 2009. If we had data on population flux this would help us separate existing residents from recent incomers</w:t>
      </w:r>
    </w:p>
    <w:p w:rsidR="00150728" w:rsidRPr="002D3F2A" w:rsidRDefault="00150728" w:rsidP="00150728">
      <w:pPr>
        <w:pStyle w:val="Default"/>
        <w:numPr>
          <w:ilvl w:val="0"/>
          <w:numId w:val="3"/>
        </w:numPr>
        <w:rPr>
          <w:rFonts w:ascii="Arial" w:hAnsi="Arial" w:cs="Arial"/>
          <w:iCs/>
          <w:sz w:val="23"/>
          <w:szCs w:val="23"/>
        </w:rPr>
      </w:pPr>
      <w:r w:rsidRPr="002D3F2A">
        <w:rPr>
          <w:rFonts w:ascii="Arial" w:hAnsi="Arial" w:cs="Arial"/>
          <w:iCs/>
          <w:sz w:val="23"/>
          <w:szCs w:val="23"/>
        </w:rPr>
        <w:t>Demographic structure : we would expect older people t</w:t>
      </w:r>
      <w:r w:rsidR="00292399">
        <w:rPr>
          <w:rFonts w:ascii="Arial" w:hAnsi="Arial" w:cs="Arial"/>
          <w:iCs/>
          <w:sz w:val="23"/>
          <w:szCs w:val="23"/>
        </w:rPr>
        <w:t>o</w:t>
      </w:r>
      <w:r w:rsidRPr="002D3F2A">
        <w:rPr>
          <w:rFonts w:ascii="Arial" w:hAnsi="Arial" w:cs="Arial"/>
          <w:iCs/>
          <w:sz w:val="23"/>
          <w:szCs w:val="23"/>
        </w:rPr>
        <w:t xml:space="preserve"> earn more money so knowing the age of the population would enable us to make better comparisons </w:t>
      </w:r>
    </w:p>
    <w:p w:rsidR="00150728" w:rsidRPr="002D3F2A" w:rsidRDefault="00150728" w:rsidP="00150728">
      <w:pPr>
        <w:pStyle w:val="Default"/>
        <w:numPr>
          <w:ilvl w:val="0"/>
          <w:numId w:val="3"/>
        </w:numPr>
        <w:rPr>
          <w:rFonts w:ascii="Arial" w:hAnsi="Arial" w:cs="Arial"/>
          <w:iCs/>
          <w:sz w:val="23"/>
          <w:szCs w:val="23"/>
        </w:rPr>
      </w:pPr>
      <w:r w:rsidRPr="002D3F2A">
        <w:rPr>
          <w:rFonts w:ascii="Arial" w:hAnsi="Arial" w:cs="Arial"/>
          <w:iCs/>
          <w:sz w:val="23"/>
          <w:szCs w:val="23"/>
        </w:rPr>
        <w:t>Household size: A household of one person earning above 50k would be experiencing v different levels of well -being to a household of 6 people on a</w:t>
      </w:r>
      <w:bookmarkStart w:id="0" w:name="_GoBack"/>
      <w:bookmarkEnd w:id="0"/>
      <w:r w:rsidRPr="002D3F2A">
        <w:rPr>
          <w:rFonts w:ascii="Arial" w:hAnsi="Arial" w:cs="Arial"/>
          <w:iCs/>
          <w:sz w:val="23"/>
          <w:szCs w:val="23"/>
        </w:rPr>
        <w:t xml:space="preserve">n income of below £20K </w:t>
      </w:r>
    </w:p>
    <w:p w:rsidR="007C06AD" w:rsidRDefault="00150728" w:rsidP="00150728">
      <w:pPr>
        <w:pStyle w:val="Default"/>
        <w:numPr>
          <w:ilvl w:val="0"/>
          <w:numId w:val="3"/>
        </w:numPr>
        <w:rPr>
          <w:rFonts w:ascii="Arial" w:hAnsi="Arial" w:cs="Arial"/>
          <w:iCs/>
          <w:sz w:val="23"/>
          <w:szCs w:val="23"/>
        </w:rPr>
      </w:pPr>
      <w:r w:rsidRPr="002D3F2A">
        <w:rPr>
          <w:rFonts w:ascii="Arial" w:hAnsi="Arial" w:cs="Arial"/>
          <w:iCs/>
          <w:sz w:val="23"/>
          <w:szCs w:val="23"/>
        </w:rPr>
        <w:t xml:space="preserve">Indicators reflecting other aspects of well -being apart from just wealth such as health or deprivation. </w:t>
      </w:r>
    </w:p>
    <w:p w:rsidR="007C06AD" w:rsidRPr="007C06AD" w:rsidRDefault="007C06AD" w:rsidP="007C06AD"/>
    <w:p w:rsidR="007C06AD" w:rsidRPr="007C06AD" w:rsidRDefault="007C06AD" w:rsidP="007C06AD"/>
    <w:p w:rsidR="007C06AD" w:rsidRPr="007C06AD" w:rsidRDefault="007C06AD" w:rsidP="007C06AD"/>
    <w:p w:rsidR="007C06AD" w:rsidRPr="007C06AD" w:rsidRDefault="007C06AD" w:rsidP="007C06AD">
      <w:pPr>
        <w:jc w:val="center"/>
        <w:rPr>
          <w:sz w:val="18"/>
          <w:szCs w:val="18"/>
        </w:rPr>
      </w:pPr>
      <w:r w:rsidRPr="007C06AD">
        <w:rPr>
          <w:sz w:val="18"/>
          <w:szCs w:val="18"/>
        </w:rPr>
        <w:t>Sources:</w:t>
      </w:r>
    </w:p>
    <w:p w:rsidR="007C06AD" w:rsidRPr="007C06AD" w:rsidRDefault="00C132F5" w:rsidP="007C06AD">
      <w:pPr>
        <w:jc w:val="center"/>
        <w:rPr>
          <w:sz w:val="18"/>
          <w:szCs w:val="18"/>
        </w:rPr>
      </w:pPr>
      <w:hyperlink r:id="rId15" w:history="1">
        <w:r w:rsidR="007C06AD" w:rsidRPr="007C06AD">
          <w:rPr>
            <w:rStyle w:val="Hyperlink"/>
            <w:sz w:val="18"/>
            <w:szCs w:val="18"/>
          </w:rPr>
          <w:t>http://www.towerhamlets.gov.uk/Documents/One-TH/Part-I-Poverty,-debt,-and-unemployment.pdf</w:t>
        </w:r>
      </w:hyperlink>
    </w:p>
    <w:p w:rsidR="00150728" w:rsidRPr="007C06AD" w:rsidRDefault="00C132F5" w:rsidP="00B01187">
      <w:pPr>
        <w:jc w:val="center"/>
      </w:pPr>
      <w:hyperlink r:id="rId16" w:history="1">
        <w:r w:rsidR="007C06AD" w:rsidRPr="007C06AD">
          <w:rPr>
            <w:rStyle w:val="Hyperlink"/>
            <w:sz w:val="18"/>
            <w:szCs w:val="18"/>
          </w:rPr>
          <w:t>http://www.towerhamlets.gov.uk/Documents/Borough_statistics/Income_poverty_and_welfare/Research-Briefing-2013-04-Household-Income-final.pdf</w:t>
        </w:r>
      </w:hyperlink>
    </w:p>
    <w:sectPr w:rsidR="00150728" w:rsidRPr="007C06AD" w:rsidSect="003A470F">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187" w:rsidRDefault="00B01187" w:rsidP="00B01187">
      <w:pPr>
        <w:spacing w:after="0" w:line="240" w:lineRule="auto"/>
      </w:pPr>
      <w:r>
        <w:separator/>
      </w:r>
    </w:p>
  </w:endnote>
  <w:endnote w:type="continuationSeparator" w:id="0">
    <w:p w:rsidR="00B01187" w:rsidRDefault="00B01187" w:rsidP="00B01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187" w:rsidRDefault="00B01187">
    <w:pPr>
      <w:pStyle w:val="Footer"/>
    </w:pPr>
    <w:r>
      <w:rPr>
        <w:noProof/>
        <w:lang w:eastAsia="en-GB"/>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187" w:rsidRDefault="00B01187">
                            <w:pPr>
                              <w:pStyle w:val="Footer"/>
                              <w:jc w:val="right"/>
                            </w:pPr>
                            <w:r>
                              <w:rPr>
                                <w:caps/>
                                <w:color w:val="5B9BD5" w:themeColor="accent1"/>
                                <w:sz w:val="20"/>
                                <w:szCs w:val="20"/>
                              </w:rPr>
                              <w:t xml:space="preserve">Kate Amis QMUL School of Geography teacher resources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up 164" o:spid="_x0000_s1026"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">
              <v:rect id="Rectangle 165" o:spid="_x0000_s1027" style="position:absolute;left:2286;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1gk8QA&#10;AADcAAAADwAAAGRycy9kb3ducmV2LnhtbERP22rCQBB9F/yHZQRfRDcVDRJdRSqC0lLwhq9DdkyC&#10;2dmYXTX167uFQt/mcK4zWzSmFA+qXWFZwdsgAkGcWl1wpuB4WPcnIJxH1lhaJgXf5GAxb7dmmGj7&#10;5B099j4TIYRdggpy76tESpfmZNANbEUcuIutDfoA60zqGp8h3JRyGEWxNFhwaMixovec0uv+bhTc&#10;RhPeHj+G8ae/nF+v86l3GK++lOp2muUUhKfG/4v/3Bsd5sd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YJP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top:95;width:59436;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MEcIA&#10;AADcAAAADwAAAGRycy9kb3ducmV2LnhtbERPzWrCQBC+F3yHZQRvdVMPoURXEWuhJ2mtDzBkxyRt&#10;djbubpLVp+8KQm/z8f3OahNNKwZyvrGs4GWegSAurW64UnD6fn9+BeEDssbWMim4kofNevK0wkLb&#10;kb9oOIZKpBD2BSqoQ+gKKX1Zk0E/tx1x4s7WGQwJukpqh2MKN61cZFkuDTacGmrsaFdT+XvsjYLP&#10;QZehX4xvt0N2if1tf/hxsVdqNo3bJYhAMfyLH+4PnebnOdyf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AwRwgAAANwAAAAPAAAAAAAAAAAAAAAAAJgCAABkcnMvZG93&#10;bnJldi54bWxQSwUGAAAAAAQABAD1AAAAhwMAAAAA&#10;" filled="f" stroked="f" strokeweight=".5pt">
                <v:textbox style="mso-fit-shape-to-text:t" inset="0,,0">
                  <w:txbxContent>
                    <w:p w:rsidR="00B01187" w:rsidRDefault="00B01187">
                      <w:pPr>
                        <w:pStyle w:val="Footer"/>
                        <w:jc w:val="right"/>
                      </w:pPr>
                      <w:r>
                        <w:rPr>
                          <w:caps/>
                          <w:color w:val="5B9BD5" w:themeColor="accent1"/>
                          <w:sz w:val="20"/>
                          <w:szCs w:val="20"/>
                        </w:rPr>
                        <w:t xml:space="preserve">Kate Amis QMUL School of Geography teacher resources </w:t>
                      </w:r>
                    </w:p>
                  </w:txbxContent>
                </v:textbox>
              </v:shape>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187" w:rsidRDefault="00B01187" w:rsidP="00B01187">
      <w:pPr>
        <w:spacing w:after="0" w:line="240" w:lineRule="auto"/>
      </w:pPr>
      <w:r>
        <w:separator/>
      </w:r>
    </w:p>
  </w:footnote>
  <w:footnote w:type="continuationSeparator" w:id="0">
    <w:p w:rsidR="00B01187" w:rsidRDefault="00B01187" w:rsidP="00B011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384032"/>
    <w:multiLevelType w:val="hybridMultilevel"/>
    <w:tmpl w:val="C66E1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C23A1E"/>
    <w:multiLevelType w:val="hybridMultilevel"/>
    <w:tmpl w:val="DC821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390FC3"/>
    <w:multiLevelType w:val="hybridMultilevel"/>
    <w:tmpl w:val="5B182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38617C"/>
    <w:multiLevelType w:val="hybridMultilevel"/>
    <w:tmpl w:val="EC0C1966"/>
    <w:lvl w:ilvl="0" w:tplc="08090015">
      <w:start w:val="1"/>
      <w:numFmt w:val="upp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 w15:restartNumberingAfterBreak="0">
    <w:nsid w:val="769E6983"/>
    <w:multiLevelType w:val="hybridMultilevel"/>
    <w:tmpl w:val="DC74FE6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526"/>
    <w:rsid w:val="000E7CCD"/>
    <w:rsid w:val="00150728"/>
    <w:rsid w:val="00205FBE"/>
    <w:rsid w:val="00292399"/>
    <w:rsid w:val="002D3F2A"/>
    <w:rsid w:val="002E09E7"/>
    <w:rsid w:val="00322EAF"/>
    <w:rsid w:val="00330925"/>
    <w:rsid w:val="003A470F"/>
    <w:rsid w:val="005223C4"/>
    <w:rsid w:val="0058080D"/>
    <w:rsid w:val="00587526"/>
    <w:rsid w:val="0070501C"/>
    <w:rsid w:val="007108A9"/>
    <w:rsid w:val="007C06AD"/>
    <w:rsid w:val="00926B59"/>
    <w:rsid w:val="00B01187"/>
    <w:rsid w:val="00C55259"/>
    <w:rsid w:val="00CA70C0"/>
    <w:rsid w:val="00F628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9A1747C-AE5C-42B9-A446-7E1DE7287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8752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C55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06AD"/>
    <w:rPr>
      <w:color w:val="0563C1" w:themeColor="hyperlink"/>
      <w:u w:val="single"/>
    </w:rPr>
  </w:style>
  <w:style w:type="paragraph" w:styleId="Header">
    <w:name w:val="header"/>
    <w:basedOn w:val="Normal"/>
    <w:link w:val="HeaderChar"/>
    <w:uiPriority w:val="99"/>
    <w:unhideWhenUsed/>
    <w:rsid w:val="00B011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87"/>
  </w:style>
  <w:style w:type="paragraph" w:styleId="Footer">
    <w:name w:val="footer"/>
    <w:basedOn w:val="Normal"/>
    <w:link w:val="FooterChar"/>
    <w:uiPriority w:val="99"/>
    <w:unhideWhenUsed/>
    <w:rsid w:val="00B011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owerhamlets.gov.uk/Documents/Borough_statistics/Income_poverty_and_welfare/Research-Briefing-2013-04-Household-Income-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towerhamlets.gov.uk/Documents/One-TH/Part-I-Poverty,-debt,-and-unemployment.pdf"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A5412-8074-4AE0-9F66-93016A93A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957</Words>
  <Characters>5457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QMUL</Company>
  <LinksUpToDate>false</LinksUpToDate>
  <CharactersWithSpaces>6402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Amis</dc:creator>
  <cp:keywords/>
  <dc:description/>
  <cp:lastModifiedBy>Kate Amis</cp:lastModifiedBy>
  <cp:revision>2</cp:revision>
  <cp:lastPrinted>2017-02-27T16:18:00Z</cp:lastPrinted>
  <dcterms:created xsi:type="dcterms:W3CDTF">2017-03-09T12:05:00Z</dcterms:created>
  <dcterms:modified xsi:type="dcterms:W3CDTF">2017-03-09T12:05:00Z</dcterms:modified>
</cp:coreProperties>
</file>